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320"/>
              <w:left w:type="dxa" w:w="400"/>
              <w:bottom w:type="dxa" w:w="320"/>
              <w:right w:type="dxa" w:w="400"/>
            </w:tcMar>
          </w:tcPr>
          <w:p>
            <w:pPr>
              <w:spacing w:after="80" w:before="0"/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48"/>
                <w:szCs w:val="48"/>
              </w:rPr>
              <w:t xml:space="preserve">懲戒処分の正しい進め方</w:t>
            </w:r>
          </w:p>
          <w:p>
            <w:pPr>
              <w:spacing w:after="8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FFF3CD"/>
                <w:sz w:val="24"/>
                <w:szCs w:val="24"/>
              </w:rPr>
              <w:t xml:space="preserve">〜無効リスクをゼロに近づける手続きの型〜</w:t>
            </w:r>
          </w:p>
          <w:p>
            <w:pPr>
              <w:spacing w:after="0" w:before="40"/>
              <w:jc w:val="center"/>
            </w:pPr>
            <w:r>
              <w:rPr>
                <w:rFonts w:ascii="Arial Unicode MS" w:cs="Arial Unicode MS" w:eastAsia="Arial Unicode MS" w:hAnsi="Arial Unicode MS"/>
                <w:color w:val="CCCCCC"/>
                <w:sz w:val="20"/>
                <w:szCs w:val="20"/>
              </w:rPr>
              <w:t xml:space="preserve">弁護士法人ブライト 企業法務部</w:t>
            </w:r>
          </w:p>
        </w:tc>
      </w:tr>
    </w:tbl>
    <w:p>
      <w:pPr>
        <w:spacing w:after="0" w:before="0" w:line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8960C" w:sz="4"/>
              <w:left w:val="single" w:color="B8960C" w:sz="4"/>
              <w:bottom w:val="single" w:color="B8960C" w:sz="4"/>
              <w:right w:val="single" w:color="B8960C" w:sz="4"/>
            </w:tcBorders>
            <w:shd w:fill="FFF3C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B8960C"/>
                <w:sz w:val="22"/>
                <w:szCs w:val="22"/>
              </w:rPr>
              <w:t xml:space="preserve">📋 このガイドについて</w:t>
            </w:r>
          </w:p>
          <w:p>
            <w:pPr>
              <w:spacing w:after="0" w:before="0"/>
            </w:pPr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懲戒処分は「正当な理由があれば有効」ではありません。処分の種類・手続き・証拠の三つが揃って初めて有効になります。このガイドでは、無効リスクを最小化するための「懲戒処分の型」を解説します。</w:t>
            </w:r>
          </w:p>
        </w:tc>
      </w:tr>
    </w:tbl>
    <w:p>
      <w:pPr>
        <w:spacing w:after="0" w:before="0" w:line="1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1"/>
        <w:pBdr>
          <w:bottom w:val="single" w:color="B8960C" w:sz="4" w:space="4"/>
        </w:pBdr>
        <w:spacing w:after="140" w:before="280"/>
      </w:pPr>
      <w:r>
        <w:rPr>
          <w:rFonts w:ascii="Arial Unicode MS" w:cs="Arial Unicode MS" w:eastAsia="Arial Unicode MS" w:hAnsi="Arial Unicode MS"/>
          <w:b/>
          <w:bCs/>
          <w:color w:val="1F3864"/>
          <w:sz w:val="28"/>
          <w:szCs w:val="28"/>
        </w:rPr>
        <w:t xml:space="preserve">1. 懲戒処分が無効になる3大原因</w:t>
      </w:r>
    </w:p>
    <w:p>
      <w:pPr>
        <w:spacing w:after="80" w:before="80"/>
        <w:jc w:val="left"/>
      </w:pPr>
      <w:r>
        <w:rPr>
          <w:rFonts w:ascii="Arial Unicode MS" w:cs="Arial Unicode MS" w:eastAsia="Arial Unicode MS" w:hAnsi="Arial Unicode MS"/>
          <w:b w:val="false"/>
          <w:bCs w:val="false"/>
          <w:color w:val="000000"/>
          <w:sz w:val="20"/>
          <w:szCs w:val="20"/>
        </w:rPr>
        <w:t xml:space="preserve">労働審判・裁判で懲戒処分が無効とされるケースには、明確なパターンがあります。</w:t>
      </w:r>
    </w:p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413"/>
        <w:gridCol w:w="5213"/>
      </w:tblGrid>
      <w:tr>
        <w:tc>
          <w:tcPr>
            <w:tcW w:type="dxa" w:w="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C0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34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C0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無効原因</w:t>
            </w:r>
          </w:p>
        </w:tc>
        <w:tc>
          <w:tcPr>
            <w:tcW w:type="dxa" w:w="52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C0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具体的なケース</w:t>
            </w:r>
          </w:p>
        </w:tc>
      </w:tr>
      <w:tr>
        <w:tc>
          <w:tcPr>
            <w:tcW w:type="dxa" w:w="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C00000"/>
                <w:sz w:val="20"/>
                <w:szCs w:val="20"/>
              </w:rPr>
              <w:t xml:space="preserve">①</w:t>
            </w:r>
          </w:p>
        </w:tc>
        <w:tc>
          <w:tcPr>
            <w:tcW w:type="dxa" w:w="34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sz w:val="20"/>
                <w:szCs w:val="20"/>
              </w:rPr>
              <w:t xml:space="preserve">就業規則への規定なし・不備</w:t>
            </w:r>
          </w:p>
        </w:tc>
        <w:tc>
          <w:tcPr>
            <w:tcW w:type="dxa" w:w="52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就業規則に「懲戒事由」として明記されていない行為を理由に処分</w:t>
            </w:r>
          </w:p>
        </w:tc>
      </w:tr>
      <w:tr>
        <w:tc>
          <w:tcPr>
            <w:tcW w:type="dxa" w:w="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C00000"/>
                <w:sz w:val="20"/>
                <w:szCs w:val="20"/>
              </w:rPr>
              <w:t xml:space="preserve">②</w:t>
            </w:r>
          </w:p>
        </w:tc>
        <w:tc>
          <w:tcPr>
            <w:tcW w:type="dxa" w:w="34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sz w:val="20"/>
                <w:szCs w:val="20"/>
              </w:rPr>
              <w:t xml:space="preserve">手続き上の瑕疵</w:t>
            </w:r>
          </w:p>
        </w:tc>
        <w:tc>
          <w:tcPr>
            <w:tcW w:type="dxa" w:w="52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事実確認なし・弁明の機会なし・懲戒委員会未開催など</w:t>
            </w:r>
          </w:p>
        </w:tc>
      </w:tr>
      <w:tr>
        <w:tc>
          <w:tcPr>
            <w:tcW w:type="dxa" w:w="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C00000"/>
                <w:sz w:val="20"/>
                <w:szCs w:val="20"/>
              </w:rPr>
              <w:t xml:space="preserve">③</w:t>
            </w:r>
          </w:p>
        </w:tc>
        <w:tc>
          <w:tcPr>
            <w:tcW w:type="dxa" w:w="34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sz w:val="20"/>
                <w:szCs w:val="20"/>
              </w:rPr>
              <w:t xml:space="preserve">処分の相当性欠如</w:t>
            </w:r>
          </w:p>
        </w:tc>
        <w:tc>
          <w:tcPr>
            <w:tcW w:type="dxa" w:w="52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軽微な違反に対し懲戒解雇など過重な処分を下した</w:t>
            </w:r>
          </w:p>
        </w:tc>
      </w:tr>
    </w:tbl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0000" w:sz="4"/>
              <w:left w:val="single" w:color="C00000" w:sz="4"/>
              <w:bottom w:val="single" w:color="C00000" w:sz="4"/>
              <w:right w:val="single" w:color="C00000" w:sz="4"/>
            </w:tcBorders>
            <w:shd w:fill="FFF0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C00000"/>
                <w:sz w:val="20"/>
                <w:szCs w:val="20"/>
              </w:rPr>
              <w:t xml:space="preserve">⚠ 注意：</w:t>
            </w:r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この3点はいずれか一つでも欠けると処分全体が無効になります。「事実があれば処分できる」は誤りです。</w:t>
            </w:r>
          </w:p>
        </w:tc>
      </w:tr>
    </w:tbl>
    <w:p>
      <w:pPr>
        <w:spacing w:after="0" w:before="0" w:line="1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1"/>
        <w:pBdr>
          <w:bottom w:val="single" w:color="B8960C" w:sz="4" w:space="4"/>
        </w:pBdr>
        <w:spacing w:after="140" w:before="280"/>
      </w:pPr>
      <w:r>
        <w:rPr>
          <w:rFonts w:ascii="Arial Unicode MS" w:cs="Arial Unicode MS" w:eastAsia="Arial Unicode MS" w:hAnsi="Arial Unicode MS"/>
          <w:b/>
          <w:bCs/>
          <w:color w:val="1F3864"/>
          <w:sz w:val="28"/>
          <w:szCs w:val="28"/>
        </w:rPr>
        <w:t xml:space="preserve">2. 懲戒処分の種類と重さ</w:t>
      </w:r>
    </w:p>
    <w:p>
      <w:pPr>
        <w:spacing w:after="80" w:before="80"/>
        <w:jc w:val="left"/>
      </w:pPr>
      <w:r>
        <w:rPr>
          <w:rFonts w:ascii="Arial Unicode MS" w:cs="Arial Unicode MS" w:eastAsia="Arial Unicode MS" w:hAnsi="Arial Unicode MS"/>
          <w:b w:val="false"/>
          <w:bCs w:val="false"/>
          <w:color w:val="000000"/>
          <w:sz w:val="20"/>
          <w:szCs w:val="20"/>
        </w:rPr>
        <w:t xml:space="preserve">処分は行為の重大性と比例していなければなりません（相当性の原則）。</w:t>
      </w:r>
    </w:p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800"/>
        <w:gridCol w:w="2000"/>
        <w:gridCol w:w="2026"/>
      </w:tblGrid>
      <w:tr>
        <w:tc>
          <w:tcPr>
            <w:tcW w:type="dxa" w:w="22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種類</w:t>
            </w:r>
          </w:p>
        </w:tc>
        <w:tc>
          <w:tcPr>
            <w:tcW w:type="dxa" w:w="2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対象となる行為の例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重さの目安</w:t>
            </w:r>
          </w:p>
        </w:tc>
        <w:tc>
          <w:tcPr>
            <w:tcW w:type="dxa" w:w="20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給与への影響</w:t>
            </w:r>
          </w:p>
        </w:tc>
      </w:tr>
      <w:tr>
        <w:tc>
          <w:tcPr>
            <w:tcW w:type="dxa" w:w="22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000000"/>
                <w:sz w:val="20"/>
                <w:szCs w:val="20"/>
              </w:rPr>
              <w:t xml:space="preserve">戒告・譴責</w:t>
            </w:r>
          </w:p>
        </w:tc>
        <w:tc>
          <w:tcPr>
            <w:tcW w:type="dxa" w:w="2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 w:val="false"/>
                <w:bCs w:val="false"/>
                <w:color w:val="000000"/>
                <w:sz w:val="20"/>
                <w:szCs w:val="20"/>
              </w:rPr>
              <w:t xml:space="preserve">軽微な規律違反・服務規程違反の初回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 w:val="false"/>
                <w:bCs w:val="false"/>
                <w:color w:val="000000"/>
                <w:sz w:val="20"/>
                <w:szCs w:val="20"/>
              </w:rPr>
              <w:t xml:space="preserve">軽</w:t>
            </w:r>
          </w:p>
        </w:tc>
        <w:tc>
          <w:tcPr>
            <w:tcW w:type="dxa" w:w="20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 w:val="false"/>
                <w:bCs w:val="false"/>
                <w:color w:val="000000"/>
                <w:sz w:val="20"/>
                <w:szCs w:val="20"/>
              </w:rPr>
              <w:t xml:space="preserve">なし</w:t>
            </w:r>
          </w:p>
        </w:tc>
      </w:tr>
      <w:tr>
        <w:tc>
          <w:tcPr>
            <w:tcW w:type="dxa" w:w="22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000000"/>
                <w:sz w:val="20"/>
                <w:szCs w:val="20"/>
              </w:rPr>
              <w:t xml:space="preserve">減給</w:t>
            </w:r>
          </w:p>
        </w:tc>
        <w:tc>
          <w:tcPr>
            <w:tcW w:type="dxa" w:w="2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 w:val="false"/>
                <w:bCs w:val="false"/>
                <w:color w:val="000000"/>
                <w:sz w:val="20"/>
                <w:szCs w:val="20"/>
              </w:rPr>
              <w:t xml:space="preserve">繰り返しの遅刻・無断欠勤・軽微な業務命令違反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 w:val="false"/>
                <w:bCs w:val="false"/>
                <w:color w:val="000000"/>
                <w:sz w:val="20"/>
                <w:szCs w:val="20"/>
              </w:rPr>
              <w:t xml:space="preserve">中（軽〜中）</w:t>
            </w:r>
          </w:p>
        </w:tc>
        <w:tc>
          <w:tcPr>
            <w:tcW w:type="dxa" w:w="20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 w:val="false"/>
                <w:bCs w:val="false"/>
                <w:color w:val="000000"/>
                <w:sz w:val="20"/>
                <w:szCs w:val="20"/>
              </w:rPr>
              <w:t xml:space="preserve">上限：1回の違反で平均賃金の1/2・総額で月給の1/10以内</w:t>
            </w:r>
          </w:p>
        </w:tc>
      </w:tr>
      <w:tr>
        <w:tc>
          <w:tcPr>
            <w:tcW w:type="dxa" w:w="22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000000"/>
                <w:sz w:val="20"/>
                <w:szCs w:val="20"/>
              </w:rPr>
              <w:t xml:space="preserve">出勤停止</w:t>
            </w:r>
          </w:p>
        </w:tc>
        <w:tc>
          <w:tcPr>
            <w:tcW w:type="dxa" w:w="2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 w:val="false"/>
                <w:bCs w:val="false"/>
                <w:color w:val="000000"/>
                <w:sz w:val="20"/>
                <w:szCs w:val="20"/>
              </w:rPr>
              <w:t xml:space="preserve">業務妨害・ハラスメント・重大な規律違反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 w:val="false"/>
                <w:bCs w:val="false"/>
                <w:color w:val="000000"/>
                <w:sz w:val="20"/>
                <w:szCs w:val="20"/>
              </w:rPr>
              <w:t xml:space="preserve">中（重）</w:t>
            </w:r>
          </w:p>
        </w:tc>
        <w:tc>
          <w:tcPr>
            <w:tcW w:type="dxa" w:w="20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 w:val="false"/>
                <w:bCs w:val="false"/>
                <w:color w:val="000000"/>
                <w:sz w:val="20"/>
                <w:szCs w:val="20"/>
              </w:rPr>
              <w:t xml:space="preserve">停止期間中は無給（就業規則に規定要）</w:t>
            </w:r>
          </w:p>
        </w:tc>
      </w:tr>
      <w:tr>
        <w:tc>
          <w:tcPr>
            <w:tcW w:type="dxa" w:w="22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000000"/>
                <w:sz w:val="20"/>
                <w:szCs w:val="20"/>
              </w:rPr>
              <w:t xml:space="preserve">降格・降職</w:t>
            </w:r>
          </w:p>
        </w:tc>
        <w:tc>
          <w:tcPr>
            <w:tcW w:type="dxa" w:w="2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 w:val="false"/>
                <w:bCs w:val="false"/>
                <w:color w:val="000000"/>
                <w:sz w:val="20"/>
                <w:szCs w:val="20"/>
              </w:rPr>
              <w:t xml:space="preserve">能力不足（降格）・ハラスメント（降職）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 w:val="false"/>
                <w:bCs w:val="false"/>
                <w:color w:val="000000"/>
                <w:sz w:val="20"/>
                <w:szCs w:val="20"/>
              </w:rPr>
              <w:t xml:space="preserve">中〜重</w:t>
            </w:r>
          </w:p>
        </w:tc>
        <w:tc>
          <w:tcPr>
            <w:tcW w:type="dxa" w:w="20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 w:val="false"/>
                <w:bCs w:val="false"/>
                <w:color w:val="000000"/>
                <w:sz w:val="20"/>
                <w:szCs w:val="20"/>
              </w:rPr>
              <w:t xml:space="preserve">役職手当等が減少</w:t>
            </w:r>
          </w:p>
        </w:tc>
      </w:tr>
      <w:tr>
        <w:tc>
          <w:tcPr>
            <w:tcW w:type="dxa" w:w="22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C00000"/>
                <w:sz w:val="20"/>
                <w:szCs w:val="20"/>
              </w:rPr>
              <w:t xml:space="preserve">懲戒解雇</w:t>
            </w:r>
          </w:p>
        </w:tc>
        <w:tc>
          <w:tcPr>
            <w:tcW w:type="dxa" w:w="2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 w:val="false"/>
                <w:bCs w:val="false"/>
                <w:color w:val="000000"/>
                <w:sz w:val="20"/>
                <w:szCs w:val="20"/>
              </w:rPr>
              <w:t xml:space="preserve">横領・犯罪行為・重大なハラスメント・繰り返しの重大違反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C00000"/>
                <w:sz w:val="20"/>
                <w:szCs w:val="20"/>
              </w:rPr>
              <w:t xml:space="preserve">最重</w:t>
            </w:r>
          </w:p>
        </w:tc>
        <w:tc>
          <w:tcPr>
            <w:tcW w:type="dxa" w:w="20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 w:val="false"/>
                <w:bCs w:val="false"/>
                <w:color w:val="000000"/>
                <w:sz w:val="20"/>
                <w:szCs w:val="20"/>
              </w:rPr>
              <w:t xml:space="preserve">退職金の減額・不支給も可能（規定要）</w:t>
            </w:r>
          </w:p>
        </w:tc>
      </w:tr>
    </w:tbl>
    <w:p>
      <w:pPr>
        <w:spacing w:after="0" w:before="0" w:line="1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1"/>
        <w:pBdr>
          <w:bottom w:val="single" w:color="B8960C" w:sz="4" w:space="4"/>
        </w:pBdr>
        <w:spacing w:after="140" w:before="280"/>
      </w:pPr>
      <w:r>
        <w:rPr>
          <w:rFonts w:ascii="Arial Unicode MS" w:cs="Arial Unicode MS" w:eastAsia="Arial Unicode MS" w:hAnsi="Arial Unicode MS"/>
          <w:b/>
          <w:bCs/>
          <w:color w:val="1F3864"/>
          <w:sz w:val="28"/>
          <w:szCs w:val="28"/>
        </w:rPr>
        <w:t xml:space="preserve">3. 懲戒処分の7ステップ手続き</w:t>
      </w:r>
    </w:p>
    <w:p>
      <w:pPr>
        <w:spacing w:after="80" w:before="80"/>
        <w:jc w:val="left"/>
      </w:pPr>
      <w:r>
        <w:rPr>
          <w:rFonts w:ascii="Arial Unicode MS" w:cs="Arial Unicode MS" w:eastAsia="Arial Unicode MS" w:hAnsi="Arial Unicode MS"/>
          <w:b w:val="false"/>
          <w:bCs w:val="false"/>
          <w:color w:val="000000"/>
          <w:sz w:val="20"/>
          <w:szCs w:val="20"/>
        </w:rPr>
        <w:t xml:space="preserve">このステップを省略すると、手続き上の瑕疵として処分が無効になります。</w:t>
      </w:r>
    </w:p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200"/>
        <w:gridCol w:w="7426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B8960C"/>
                <w:sz w:val="24"/>
                <w:szCs w:val="24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STEP 1</w:t>
            </w:r>
          </w:p>
        </w:tc>
        <w:tc>
          <w:tcPr>
            <w:tcW w:type="dxa" w:w="74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8F8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F3864"/>
                <w:sz w:val="22"/>
                <w:szCs w:val="22"/>
              </w:rPr>
              <w:t xml:space="preserve">問題行動の事実確認・記録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問題行動が発生したら、まず事実を具体的に記録する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目撃者・関係者の証言も書面で取得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物的証拠（メール・チャット・写真等）を保全</w:t>
            </w:r>
          </w:p>
        </w:tc>
      </w:tr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B8960C"/>
                <w:sz w:val="24"/>
                <w:szCs w:val="24"/>
              </w:rPr>
              <w:t xml:space="preserve">▼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STEP 2</w:t>
            </w:r>
          </w:p>
        </w:tc>
        <w:tc>
          <w:tcPr>
            <w:tcW w:type="dxa" w:w="74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8F8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F3864"/>
                <w:sz w:val="22"/>
                <w:szCs w:val="22"/>
              </w:rPr>
              <w:t xml:space="preserve">就業規則の懲戒事由に該当するか確認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就業規則の懲戒事由の条項を確認する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「どの条文に該当するか」を特定しておく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該当しない場合は処分できない（注意指導に留める）</w:t>
            </w:r>
          </w:p>
        </w:tc>
      </w:tr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B8960C"/>
                <w:sz w:val="24"/>
                <w:szCs w:val="24"/>
              </w:rPr>
              <w:t xml:space="preserve">▼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STEP 3</w:t>
            </w:r>
          </w:p>
        </w:tc>
        <w:tc>
          <w:tcPr>
            <w:tcW w:type="dxa" w:w="74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8F8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F3864"/>
                <w:sz w:val="22"/>
                <w:szCs w:val="22"/>
              </w:rPr>
              <w:t xml:space="preserve">関係者・被害者からのヒアリング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被害者・目撃者に事情聴取し、書面に記録する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ヒアリング日時・場所・発言要旨を記録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可能であれば署名を得る</w:t>
            </w:r>
          </w:p>
        </w:tc>
      </w:tr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B8960C"/>
                <w:sz w:val="24"/>
                <w:szCs w:val="24"/>
              </w:rPr>
              <w:t xml:space="preserve">▼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STEP 4</w:t>
            </w:r>
          </w:p>
        </w:tc>
        <w:tc>
          <w:tcPr>
            <w:tcW w:type="dxa" w:w="74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8F8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F3864"/>
                <w:sz w:val="22"/>
                <w:szCs w:val="22"/>
              </w:rPr>
              <w:t xml:space="preserve">行為者本人に弁明の機会を付与（必須）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「懲戒処分を検討している旨」を書面で通知する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弁明書の提出または口頭での弁明機会を与える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この手続きを省略すると手続き違反で処分が無効になる</w:t>
            </w:r>
          </w:p>
        </w:tc>
      </w:tr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B8960C"/>
                <w:sz w:val="24"/>
                <w:szCs w:val="24"/>
              </w:rPr>
              <w:t xml:space="preserve">▼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STEP 5</w:t>
            </w:r>
          </w:p>
        </w:tc>
        <w:tc>
          <w:tcPr>
            <w:tcW w:type="dxa" w:w="74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8F8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F3864"/>
                <w:sz w:val="22"/>
                <w:szCs w:val="22"/>
              </w:rPr>
              <w:t xml:space="preserve">懲戒委員会（または決定権者）による審議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就業規則に懲戒委員会の規定がある場合は必ず開催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審議の日時・出席者・決定内容を議事録に記録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処分の種類と理由を明確に決定する</w:t>
            </w:r>
          </w:p>
        </w:tc>
      </w:tr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B8960C"/>
                <w:sz w:val="24"/>
                <w:szCs w:val="24"/>
              </w:rPr>
              <w:t xml:space="preserve">▼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STEP 6</w:t>
            </w:r>
          </w:p>
        </w:tc>
        <w:tc>
          <w:tcPr>
            <w:tcW w:type="dxa" w:w="74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8F8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F3864"/>
                <w:sz w:val="22"/>
                <w:szCs w:val="22"/>
              </w:rPr>
              <w:t xml:space="preserve">処分の通知（書面）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懲戒処分の「種類・理由・根拠条文・効力発生日」を明記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本人に書面で交付し、受領のサインを得る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受け取り拒否の場合は内容証明郵便で送付</w:t>
            </w:r>
          </w:p>
        </w:tc>
      </w:tr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B8960C"/>
                <w:sz w:val="24"/>
                <w:szCs w:val="24"/>
              </w:rPr>
              <w:t xml:space="preserve">▼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STEP 7</w:t>
            </w:r>
          </w:p>
        </w:tc>
        <w:tc>
          <w:tcPr>
            <w:tcW w:type="dxa" w:w="74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8F8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F3864"/>
                <w:sz w:val="22"/>
                <w:szCs w:val="22"/>
              </w:rPr>
              <w:t xml:space="preserve">処分後の継続モニタリング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処分後も問題行動が続く場合は記録を継続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改善した場合も記録（将来の再処分の際の参考に）</w:t>
            </w:r>
          </w:p>
          <w:p>
            <w:pPr>
              <w:spacing w:after="40" w:before="40"/>
              <w:ind w:left="200" w:hanging="200"/>
            </w:pPr>
            <w:r>
              <w:rPr>
                <w:rFonts w:ascii="Arial Unicode MS" w:cs="Arial Unicode MS" w:eastAsia="Arial Unicode MS" w:hAnsi="Arial Unicode MS"/>
                <w:sz w:val="19"/>
                <w:szCs w:val="19"/>
              </w:rPr>
              <w:t xml:space="preserve">◦ 懲戒解雇の場合は雇用保険手続き等の対応</w:t>
            </w:r>
          </w:p>
        </w:tc>
      </w:tr>
    </w:tbl>
    <w:p>
      <w:pPr>
        <w:spacing w:after="0" w:before="0" w:line="1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1"/>
        <w:pBdr>
          <w:bottom w:val="single" w:color="B8960C" w:sz="4" w:space="4"/>
        </w:pBdr>
        <w:spacing w:after="140" w:before="280"/>
      </w:pPr>
      <w:r>
        <w:rPr>
          <w:rFonts w:ascii="Arial Unicode MS" w:cs="Arial Unicode MS" w:eastAsia="Arial Unicode MS" w:hAnsi="Arial Unicode MS"/>
          <w:b/>
          <w:bCs/>
          <w:color w:val="1F3864"/>
          <w:sz w:val="28"/>
          <w:szCs w:val="28"/>
        </w:rPr>
        <w:t xml:space="preserve">4. 弁明機会付与の実務</w:t>
      </w:r>
    </w:p>
    <w:p>
      <w:pPr>
        <w:spacing w:after="80" w:before="80"/>
        <w:jc w:val="left"/>
      </w:pPr>
      <w:r>
        <w:rPr>
          <w:rFonts w:ascii="Arial Unicode MS" w:cs="Arial Unicode MS" w:eastAsia="Arial Unicode MS" w:hAnsi="Arial Unicode MS"/>
          <w:b w:val="false"/>
          <w:bCs w:val="false"/>
          <w:color w:val="000000"/>
          <w:sz w:val="20"/>
          <w:szCs w:val="20"/>
        </w:rPr>
        <w:t xml:space="preserve">弁明の機会付与は最も見落とされやすく、かつ最も重要な手続きです。</w:t>
      </w:r>
    </w:p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2"/>
        <w:spacing w:after="100" w:before="200"/>
      </w:pPr>
      <w:r>
        <w:rPr>
          <w:rFonts w:ascii="Arial Unicode MS" w:cs="Arial Unicode MS" w:eastAsia="Arial Unicode MS" w:hAnsi="Arial Unicode MS"/>
          <w:b/>
          <w:bCs/>
          <w:color w:val="1F3864"/>
          <w:sz w:val="24"/>
          <w:szCs w:val="24"/>
        </w:rPr>
        <w:t xml:space="preserve">■ 弁明通知書に記載すべき事項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調査中の事実の概要（「○月○日に△△があったと認識している」）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処分を検討している旨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弁明の方法（書面提出 or 口頭）と期限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弁明先の担当者・連絡先</w:t>
      </w:r>
    </w:p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8960C" w:sz="4"/>
              <w:left w:val="single" w:color="B8960C" w:sz="4"/>
              <w:bottom w:val="single" w:color="B8960C" w:sz="4"/>
              <w:right w:val="single" w:color="B8960C" w:sz="4"/>
            </w:tcBorders>
            <w:shd w:fill="FFF3C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B8960C"/>
                <w:sz w:val="22"/>
                <w:szCs w:val="22"/>
              </w:rPr>
              <w:t xml:space="preserve">💡 口頭弁明の注意点</w:t>
            </w:r>
          </w:p>
          <w:p>
            <w:pPr>
              <w:spacing w:after="0" w:before="0"/>
            </w:pPr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口頭で弁明を聴取した場合は、必ず「弁明聴取記録書」を作成し、本人に確認・署名を求めます。「何も言わなかった」「聞いていない」という後の主張を防ぐためです。</w:t>
            </w:r>
          </w:p>
        </w:tc>
      </w:tr>
    </w:tbl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0000" w:sz="4"/>
              <w:left w:val="single" w:color="C00000" w:sz="4"/>
              <w:bottom w:val="single" w:color="C00000" w:sz="4"/>
              <w:right w:val="single" w:color="C00000" w:sz="4"/>
            </w:tcBorders>
            <w:shd w:fill="FFF0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C00000"/>
                <w:sz w:val="20"/>
                <w:szCs w:val="20"/>
              </w:rPr>
              <w:t xml:space="preserve">⚠ 注意：</w:t>
            </w:r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「弁明しなかった＝認めた」とはなりません。弁明しなかった事実を記録した上で、手続きを進めてください。</w:t>
            </w:r>
          </w:p>
        </w:tc>
      </w:tr>
    </w:tbl>
    <w:p>
      <w:pPr>
        <w:spacing w:after="0" w:before="0" w:line="1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1"/>
        <w:pBdr>
          <w:bottom w:val="single" w:color="B8960C" w:sz="4" w:space="4"/>
        </w:pBdr>
        <w:spacing w:after="140" w:before="280"/>
      </w:pPr>
      <w:r>
        <w:rPr>
          <w:rFonts w:ascii="Arial Unicode MS" w:cs="Arial Unicode MS" w:eastAsia="Arial Unicode MS" w:hAnsi="Arial Unicode MS"/>
          <w:b/>
          <w:bCs/>
          <w:color w:val="1F3864"/>
          <w:sz w:val="28"/>
          <w:szCs w:val="28"/>
        </w:rPr>
        <w:t xml:space="preserve">5. よくある失敗と対処法</w:t>
      </w:r>
    </w:p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226"/>
      </w:tblGrid>
      <w:tr>
        <w:tc>
          <w:tcPr>
            <w:tcW w:type="dxa" w:w="3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よくある失敗</w:t>
            </w:r>
          </w:p>
        </w:tc>
        <w:tc>
          <w:tcPr>
            <w:tcW w:type="dxa" w:w="52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対処法・ポイント</w:t>
            </w:r>
          </w:p>
        </w:tc>
      </w:tr>
      <w:tr>
        <w:tc>
          <w:tcPr>
            <w:tcW w:type="dxa" w:w="3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感情的になり、その場で「クビだ」と発言</w:t>
            </w:r>
          </w:p>
        </w:tc>
        <w:tc>
          <w:tcPr>
            <w:tcW w:type="dxa" w:w="52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口頭での解雇通告は法的効力を生む可能性。即座に「正式な手続きの前の発言で撤回する」と伝え記録する</w:t>
            </w:r>
          </w:p>
        </w:tc>
      </w:tr>
      <w:tr>
        <w:tc>
          <w:tcPr>
            <w:tcW w:type="dxa" w:w="3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「今回は特別に見逃す」という前例を作った</w:t>
            </w:r>
          </w:p>
        </w:tc>
        <w:tc>
          <w:tcPr>
            <w:tcW w:type="dxa" w:w="52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次の処分時に「以前は許可された」と主張される。注意・警告は必ず書面に残し、免除した場合も理由を記録する</w:t>
            </w:r>
          </w:p>
        </w:tc>
      </w:tr>
      <w:tr>
        <w:tc>
          <w:tcPr>
            <w:tcW w:type="dxa" w:w="3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同じ行為でも人によって処分の重さが異なる</w:t>
            </w:r>
          </w:p>
        </w:tc>
        <w:tc>
          <w:tcPr>
            <w:tcW w:type="dxa" w:w="52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不均衡処分は無効原因になる。処分基準を文書化し、全件で一貫した運用をすること</w:t>
            </w:r>
          </w:p>
        </w:tc>
      </w:tr>
      <w:tr>
        <w:tc>
          <w:tcPr>
            <w:tcW w:type="dxa" w:w="3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退職を引き出そうとして退職強要になった</w:t>
            </w:r>
          </w:p>
        </w:tc>
        <w:tc>
          <w:tcPr>
            <w:tcW w:type="dxa" w:w="52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退職勧奨と退職強要の境界線を意識し、面談は複数回・短時間・記録を残すこと。弁護士に事前確認を</w:t>
            </w:r>
          </w:p>
        </w:tc>
      </w:tr>
    </w:tbl>
    <w:p>
      <w:pPr>
        <w:spacing w:after="0" w:before="0" w:line="1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1"/>
        <w:pBdr>
          <w:bottom w:val="single" w:color="B8960C" w:sz="4" w:space="4"/>
        </w:pBdr>
        <w:spacing w:after="140" w:before="280"/>
      </w:pPr>
      <w:r>
        <w:rPr>
          <w:rFonts w:ascii="Arial Unicode MS" w:cs="Arial Unicode MS" w:eastAsia="Arial Unicode MS" w:hAnsi="Arial Unicode MS"/>
          <w:b/>
          <w:bCs/>
          <w:color w:val="1F3864"/>
          <w:sz w:val="28"/>
          <w:szCs w:val="28"/>
        </w:rPr>
        <w:t xml:space="preserve">6. 懲戒処分前チェックリスト</w:t>
      </w:r>
    </w:p>
    <w:p>
      <w:pPr>
        <w:pStyle w:val="Heading2"/>
        <w:spacing w:after="100" w:before="200"/>
      </w:pPr>
      <w:r>
        <w:rPr>
          <w:rFonts w:ascii="Arial Unicode MS" w:cs="Arial Unicode MS" w:eastAsia="Arial Unicode MS" w:hAnsi="Arial Unicode MS"/>
          <w:b/>
          <w:bCs/>
          <w:color w:val="1F3864"/>
          <w:sz w:val="24"/>
          <w:szCs w:val="24"/>
        </w:rPr>
        <w:t xml:space="preserve">■ STEP 1〜3（事実確認・就業規則・ヒアリング）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問題行動の日時・具体的内容を記録した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物的証拠（書類・メール・写真等）を保全した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就業規則の懲戒事由の該当条文を特定した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関係者・被害者のヒアリングを実施し書面化した</w:t>
      </w:r>
    </w:p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2"/>
        <w:spacing w:after="100" w:before="200"/>
      </w:pPr>
      <w:r>
        <w:rPr>
          <w:rFonts w:ascii="Arial Unicode MS" w:cs="Arial Unicode MS" w:eastAsia="Arial Unicode MS" w:hAnsi="Arial Unicode MS"/>
          <w:b/>
          <w:bCs/>
          <w:color w:val="1F3864"/>
          <w:sz w:val="24"/>
          <w:szCs w:val="24"/>
        </w:rPr>
        <w:t xml:space="preserve">■ STEP 4（弁明の機会付与）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弁明通知書を書面で交付した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弁明の機会（書面または口頭）を与えた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弁明の内容（または不提出の事実）を記録した</w:t>
      </w:r>
    </w:p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2"/>
        <w:spacing w:after="100" w:before="200"/>
      </w:pPr>
      <w:r>
        <w:rPr>
          <w:rFonts w:ascii="Arial Unicode MS" w:cs="Arial Unicode MS" w:eastAsia="Arial Unicode MS" w:hAnsi="Arial Unicode MS"/>
          <w:b/>
          <w:bCs/>
          <w:color w:val="1F3864"/>
          <w:sz w:val="24"/>
          <w:szCs w:val="24"/>
        </w:rPr>
        <w:t xml:space="preserve">■ STEP 5〜6（審議・通知）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懲戒委員会または決定権者による審議を行い議事録を残した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処分の種類・理由・根拠条文・効力発生日を決定した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懲戒処分通知書を書面で交付した（受領確認あり）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懲戒解雇の場合は退職金の扱いを就業規則と照合した</w:t>
      </w:r>
    </w:p>
    <w:p>
      <w:pPr>
        <w:spacing w:after="0" w:before="0" w:line="1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1"/>
        <w:pBdr>
          <w:bottom w:val="single" w:color="B8960C" w:sz="4" w:space="4"/>
        </w:pBdr>
        <w:spacing w:after="140" w:before="280"/>
      </w:pPr>
      <w:r>
        <w:rPr>
          <w:rFonts w:ascii="Arial Unicode MS" w:cs="Arial Unicode MS" w:eastAsia="Arial Unicode MS" w:hAnsi="Arial Unicode MS"/>
          <w:b/>
          <w:bCs/>
          <w:color w:val="1F3864"/>
          <w:sz w:val="28"/>
          <w:szCs w:val="28"/>
        </w:rPr>
        <w:t xml:space="preserve">7. 弁護士への相談タイミング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懲戒処分を初めて実施する前（就業規則・手続きの確認）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懲戒解雇を検討し始めた段階（必ず事前に相談）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本人が「不当だ」「弁護士に相談する」と発言した場合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労働審判・仮処分の申立書が届いた場合（即時対応必須）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就業規則の見直し・懲戒規定の整備を検討している場合</w:t>
      </w:r>
    </w:p>
    <w:p>
      <w:pPr>
        <w:spacing w:after="0" w:before="0" w:line="12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8960C" w:sz="4"/>
              <w:left w:val="single" w:color="B8960C" w:sz="4"/>
              <w:bottom w:val="single" w:color="B8960C" w:sz="4"/>
              <w:right w:val="single" w:color="B8960C" w:sz="4"/>
            </w:tcBorders>
            <w:shd w:fill="FFF3CD" w:val="clear"/>
            <w:tcMar>
              <w:top w:type="dxa" w:w="240"/>
              <w:left w:type="dxa" w:w="400"/>
              <w:bottom w:type="dxa" w:w="240"/>
              <w:right w:type="dxa" w:w="400"/>
            </w:tcMar>
          </w:tcPr>
          <w:p>
            <w:pPr>
              <w:spacing w:after="80" w:before="0"/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F3864"/>
                <w:sz w:val="24"/>
                <w:szCs w:val="24"/>
              </w:rPr>
              <w:t xml:space="preserve">懲戒処分を検討中の方へ</w:t>
            </w:r>
          </w:p>
          <w:p>
            <w:pPr>
              <w:spacing w:after="100" w:before="0"/>
              <w:jc w:val="center"/>
            </w:pPr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懲戒処分は手続きが一つ欠けても無効になるリスクがあります。弁護士法人ブライトへご相談ください。</w:t>
            </w:r>
          </w:p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F3864"/>
                <w:sz w:val="22"/>
                <w:szCs w:val="22"/>
              </w:rPr>
              <w:t xml:space="preserve">📞 0120-929-739（みんなの法務部）　LINE相談も可</w:t>
            </w:r>
          </w:p>
        </w:tc>
      </w:tr>
    </w:tbl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960C" w:sz="4" w:space="4"/>
      </w:pBdr>
      <w:jc w:val="center"/>
    </w:pPr>
    <w:r>
      <w:rPr>
        <w:rFonts w:ascii="Arial Unicode MS" w:cs="Arial Unicode MS" w:eastAsia="Arial Unicode MS" w:hAnsi="Arial Unicode MS"/>
        <w:color w:val="888888"/>
        <w:sz w:val="16"/>
        <w:szCs w:val="16"/>
      </w:rPr>
      <w:t xml:space="preserve">© 弁護士法人ブライト　企業法務専用ダイヤル：0120-929-739　</w:t>
    </w:r>
    <w:r>
      <w:rPr>
        <w:rFonts w:ascii="Arial Unicode MS" w:cs="Arial Unicode MS" w:eastAsia="Arial Unicode MS" w:hAnsi="Arial Unicode MS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 Unicode MS" w:cs="Arial Unicode MS" w:eastAsia="Arial Unicode MS" w:hAnsi="Arial Unicode MS"/>
        <w:color w:val="888888"/>
        <w:sz w:val="16"/>
        <w:szCs w:val="16"/>
      </w:rPr>
      <w:t xml:space="preserve"> ページ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960C" w:sz="4" w:space="4"/>
      </w:pBdr>
      <w:jc w:val="right"/>
    </w:pPr>
    <w:r>
      <w:rPr>
        <w:rFonts w:ascii="Arial Unicode MS" w:cs="Arial Unicode MS" w:eastAsia="Arial Unicode MS" w:hAnsi="Arial Unicode MS"/>
        <w:color w:val="888888"/>
        <w:sz w:val="16"/>
        <w:szCs w:val="16"/>
      </w:rPr>
      <w:t xml:space="preserve">弁護士法人ブライト 企業法務部　懲戒処分の正しい進め方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cs="Arial Unicode MS" w:eastAsia="Arial Unicode MS" w:hAnsi="Arial Unicode MS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2026-05-01T11:38:14.555Z</dcterms:created>
  <dcterms:modified xsi:type="dcterms:W3CDTF">2026-05-01T11:38:14.561Z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