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jc w:val="left"/>
      </w:pPr>
      <w:r>
        <w:rPr>
          <w:rFonts w:ascii="游ゴシック" w:hAnsi="游ゴシック"/>
          <w:b w:val="0"/>
          <w:color w:val="969696"/>
          <w:sz w:val="18"/>
        </w:rPr>
        <w:t>M&amp;A 法務DD 完全版 ｜ 付録</w:t>
      </w:r>
    </w:p>
    <w:p>
      <w:pPr>
        <w:spacing w:after="80"/>
      </w:pPr>
      <w:r>
        <w:rPr>
          <w:rFonts w:ascii="游ゴシック" w:hAnsi="游ゴシック"/>
          <w:b/>
          <w:color w:val="C79D2A"/>
          <w:sz w:val="36"/>
        </w:rPr>
        <w:t>表明保証条項チェックリスト</w:t>
      </w:r>
    </w:p>
    <w:p>
      <w:pPr>
        <w:spacing w:after="200"/>
      </w:pPr>
      <w:r>
        <w:rPr>
          <w:rFonts w:ascii="游ゴシック" w:hAnsi="游ゴシック"/>
          <w:b w:val="0"/>
          <w:color w:val="646464"/>
          <w:sz w:val="18"/>
        </w:rPr>
        <w:t>SPA（株式譲渡契約）交渉用 ｜ 監修：和氣 良浩 弁護士（弁護士法人ブライト・大阪弁護士会所属）</w:t>
      </w:r>
    </w:p>
    <w:p>
      <w:pPr>
        <w:spacing w:before="0" w:after="160"/>
        <w:pBdr>
          <w:bottom w:val="single" w:sz="6" w:space="1" w:color="C79D2A"/>
        </w:pBdr>
      </w:pPr>
    </w:p>
    <w:p>
      <w:pPr>
        <w:spacing w:before="240" w:after="120"/>
      </w:pPr>
      <w:r>
        <w:rPr>
          <w:rFonts w:ascii="游ゴシック" w:hAnsi="游ゴシック"/>
          <w:b/>
          <w:color w:val="C79D2A"/>
          <w:sz w:val="22"/>
        </w:rPr>
        <w:t>表明保証条項とは</w:t>
      </w:r>
    </w:p>
    <w:p>
      <w:pPr>
        <w:spacing w:before="40" w:after="40"/>
      </w:pPr>
      <w:r>
        <w:rPr>
          <w:rFonts w:ascii="游ゴシック" w:hAnsi="游ゴシック"/>
          <w:b w:val="0"/>
          <w:sz w:val="18"/>
        </w:rPr>
        <w:t>表明保証（Representations and Warranties）とは、株式譲渡契約（SPA）において、売主が「対象会社の現状・過去に関する一定の事実が正確である」ことを保証し、虚偽・不正確があった場合に買主が損害賠償を請求できる条項です。</w:t>
      </w:r>
    </w:p>
    <w:p>
      <w:pPr>
        <w:spacing w:before="40" w:after="40"/>
      </w:pPr>
      <w:r>
        <w:rPr>
          <w:rFonts w:ascii="游ゴシック" w:hAnsi="游ゴシック"/>
          <w:b w:val="0"/>
          <w:sz w:val="18"/>
        </w:rPr>
        <w:t>DD完了後、SPA交渉の際に本チェックリストを参照し、各項目が適切に条項化されているかを確認してください。カスタマイズが必要な場合は弁護士法人ブライトにご相談ください。</w:t>
      </w:r>
    </w:p>
    <w:p>
      <w:pPr>
        <w:spacing w:after="120"/>
      </w:pPr>
    </w:p>
    <w:p>
      <w:pPr>
        <w:spacing w:before="240" w:after="120"/>
      </w:pPr>
      <w:r>
        <w:rPr>
          <w:rFonts w:ascii="游ゴシック" w:hAnsi="游ゴシック"/>
          <w:b/>
          <w:color w:val="C79D2A"/>
          <w:sz w:val="22"/>
        </w:rPr>
        <w:t>確認チェックリスト（15項目）</w:t>
      </w:r>
    </w:p>
    <w:tbl>
      <w:tblPr>
        <w:tblStyle w:val="TableGrid"/>
        <w:tblW w:type="auto" w:w="0"/>
        <w:jc w:val="center"/>
        <w:tblLook w:firstColumn="1" w:firstRow="1" w:lastColumn="0" w:lastRow="0" w:noHBand="0" w:noVBand="1" w:val="04A0"/>
      </w:tblPr>
      <w:tblGrid>
        <w:gridCol w:w="1949"/>
        <w:gridCol w:w="1949"/>
        <w:gridCol w:w="1949"/>
        <w:gridCol w:w="1949"/>
        <w:gridCol w:w="1949"/>
      </w:tblGrid>
      <w:tr>
        <w:tc>
          <w:tcPr>
            <w:tcW w:type="dxa" w:w="454"/>
            <w:vAlign w:val="center"/>
            <w:shd w:val="clear" w:color="auto" w:fill="C79D2A"/>
          </w:tcPr>
          <w:p>
            <w:pPr>
              <w:jc w:val="center"/>
            </w:pPr>
            <w:r>
              <w:rPr>
                <w:rFonts w:ascii="游ゴシック" w:hAnsi="游ゴシック"/>
                <w:b/>
                <w:color w:val="FFFFFF"/>
                <w:sz w:val="18"/>
              </w:rPr>
              <w:t>□</w:t>
            </w:r>
          </w:p>
        </w:tc>
        <w:tc>
          <w:tcPr>
            <w:tcW w:type="dxa" w:w="850"/>
            <w:vAlign w:val="center"/>
            <w:shd w:val="clear" w:color="auto" w:fill="C79D2A"/>
          </w:tcPr>
          <w:p>
            <w:pPr>
              <w:jc w:val="center"/>
            </w:pPr>
            <w:r>
              <w:rPr>
                <w:rFonts w:ascii="游ゴシック" w:hAnsi="游ゴシック"/>
                <w:b/>
                <w:color w:val="FFFFFF"/>
                <w:sz w:val="18"/>
              </w:rPr>
              <w:t>リスク</w:t>
            </w:r>
          </w:p>
        </w:tc>
        <w:tc>
          <w:tcPr>
            <w:tcW w:type="dxa" w:w="454"/>
            <w:vAlign w:val="center"/>
            <w:shd w:val="clear" w:color="auto" w:fill="C79D2A"/>
          </w:tcPr>
          <w:p>
            <w:pPr>
              <w:jc w:val="center"/>
            </w:pPr>
            <w:r>
              <w:rPr>
                <w:rFonts w:ascii="游ゴシック" w:hAnsi="游ゴシック"/>
                <w:b/>
                <w:color w:val="FFFFFF"/>
                <w:sz w:val="18"/>
              </w:rPr>
              <w:t>No</w:t>
            </w:r>
          </w:p>
        </w:tc>
        <w:tc>
          <w:tcPr>
            <w:tcW w:type="dxa" w:w="3118"/>
            <w:vAlign w:val="center"/>
            <w:shd w:val="clear" w:color="auto" w:fill="C79D2A"/>
          </w:tcPr>
          <w:p>
            <w:pPr>
              <w:jc w:val="center"/>
            </w:pPr>
            <w:r>
              <w:rPr>
                <w:rFonts w:ascii="游ゴシック" w:hAnsi="游ゴシック"/>
                <w:b/>
                <w:color w:val="FFFFFF"/>
                <w:sz w:val="18"/>
              </w:rPr>
              <w:t>表明保証項目</w:t>
            </w:r>
          </w:p>
        </w:tc>
        <w:tc>
          <w:tcPr>
            <w:tcW w:type="dxa" w:w="4252"/>
            <w:vAlign w:val="center"/>
            <w:shd w:val="clear" w:color="auto" w:fill="C79D2A"/>
          </w:tcPr>
          <w:p>
            <w:pPr>
              <w:jc w:val="center"/>
            </w:pPr>
            <w:r>
              <w:rPr>
                <w:rFonts w:ascii="游ゴシック" w:hAnsi="游ゴシック"/>
                <w:b/>
                <w:color w:val="FFFFFF"/>
                <w:sz w:val="18"/>
              </w:rPr>
              <w:t>確認ポイント</w:t>
            </w:r>
          </w:p>
        </w:tc>
      </w:tr>
      <w:tr>
        <w:tc>
          <w:tcPr>
            <w:tcW w:type="dxa" w:w="1949"/>
            <w:shd w:val="clear" w:color="auto" w:fill="FFEBEB"/>
            <w:vAlign w:val="top"/>
          </w:tcPr>
          <w:p>
            <w:pPr>
              <w:jc w:val="center"/>
            </w:pPr>
            <w:r>
              <w:rPr>
                <w:rFonts w:ascii="游ゴシック" w:hAnsi="游ゴシック"/>
                <w:b w:val="0"/>
                <w:color w:val="969696"/>
                <w:sz w:val="22"/>
              </w:rPr>
              <w:t>□</w:t>
            </w:r>
          </w:p>
        </w:tc>
        <w:tc>
          <w:tcPr>
            <w:tcW w:type="dxa" w:w="1949"/>
            <w:shd w:val="clear" w:color="auto" w:fill="C0392B"/>
            <w:vAlign w:val="top"/>
          </w:tcPr>
          <w:p>
            <w:pPr>
              <w:jc w:val="center"/>
            </w:pPr>
            <w:r>
              <w:rPr>
                <w:rFonts w:ascii="游ゴシック" w:hAnsi="游ゴシック"/>
                <w:b/>
                <w:color w:val="FFFFFF"/>
                <w:sz w:val="18"/>
              </w:rPr>
              <w:t>高</w:t>
            </w:r>
          </w:p>
        </w:tc>
        <w:tc>
          <w:tcPr>
            <w:tcW w:type="dxa" w:w="1949"/>
            <w:shd w:val="clear" w:color="auto" w:fill="FFEBEB"/>
            <w:vAlign w:val="top"/>
          </w:tcPr>
          <w:p>
            <w:pPr>
              <w:jc w:val="center"/>
            </w:pPr>
            <w:r>
              <w:rPr>
                <w:rFonts w:ascii="游ゴシック" w:hAnsi="游ゴシック"/>
                <w:b w:val="0"/>
                <w:sz w:val="18"/>
              </w:rPr>
              <w:t>1</w:t>
            </w:r>
          </w:p>
        </w:tc>
        <w:tc>
          <w:tcPr>
            <w:tcW w:type="dxa" w:w="1949"/>
            <w:shd w:val="clear" w:color="auto" w:fill="FFEBEB"/>
            <w:vAlign w:val="top"/>
          </w:tcPr>
          <w:p>
            <w:pPr>
              <w:jc w:val="left"/>
            </w:pPr>
            <w:r>
              <w:rPr>
                <w:rFonts w:ascii="游ゴシック" w:hAnsi="游ゴシック"/>
                <w:b/>
                <w:sz w:val="18"/>
              </w:rPr>
              <w:t>会社の設立・存続・適法性</w:t>
            </w:r>
          </w:p>
        </w:tc>
        <w:tc>
          <w:tcPr>
            <w:tcW w:type="dxa" w:w="1949"/>
            <w:shd w:val="clear" w:color="auto" w:fill="FFEBEB"/>
            <w:vAlign w:val="top"/>
          </w:tcPr>
          <w:p>
            <w:pPr>
              <w:jc w:val="left"/>
            </w:pPr>
            <w:r>
              <w:rPr>
                <w:rFonts w:ascii="游ゴシック" w:hAnsi="游ゴシック"/>
                <w:b w:val="0"/>
                <w:sz w:val="18"/>
              </w:rPr>
              <w:t>定款・登記内容が正確であること。設立手続きに瑕疵がなく、会社が適法に存続していること。</w:t>
            </w:r>
          </w:p>
        </w:tc>
      </w:tr>
      <w:tr>
        <w:tc>
          <w:tcPr>
            <w:tcW w:type="dxa" w:w="1949"/>
            <w:shd w:val="clear" w:color="auto" w:fill="FFEBEB"/>
            <w:vAlign w:val="top"/>
          </w:tcPr>
          <w:p>
            <w:pPr>
              <w:jc w:val="center"/>
            </w:pPr>
            <w:r>
              <w:rPr>
                <w:rFonts w:ascii="游ゴシック" w:hAnsi="游ゴシック"/>
                <w:b w:val="0"/>
                <w:color w:val="969696"/>
                <w:sz w:val="22"/>
              </w:rPr>
              <w:t>□</w:t>
            </w:r>
          </w:p>
        </w:tc>
        <w:tc>
          <w:tcPr>
            <w:tcW w:type="dxa" w:w="1949"/>
            <w:shd w:val="clear" w:color="auto" w:fill="C0392B"/>
            <w:vAlign w:val="top"/>
          </w:tcPr>
          <w:p>
            <w:pPr>
              <w:jc w:val="center"/>
            </w:pPr>
            <w:r>
              <w:rPr>
                <w:rFonts w:ascii="游ゴシック" w:hAnsi="游ゴシック"/>
                <w:b/>
                <w:color w:val="FFFFFF"/>
                <w:sz w:val="18"/>
              </w:rPr>
              <w:t>高</w:t>
            </w:r>
          </w:p>
        </w:tc>
        <w:tc>
          <w:tcPr>
            <w:tcW w:type="dxa" w:w="1949"/>
            <w:shd w:val="clear" w:color="auto" w:fill="FFEBEB"/>
            <w:vAlign w:val="top"/>
          </w:tcPr>
          <w:p>
            <w:pPr>
              <w:jc w:val="center"/>
            </w:pPr>
            <w:r>
              <w:rPr>
                <w:rFonts w:ascii="游ゴシック" w:hAnsi="游ゴシック"/>
                <w:b w:val="0"/>
                <w:sz w:val="18"/>
              </w:rPr>
              <w:t>2</w:t>
            </w:r>
          </w:p>
        </w:tc>
        <w:tc>
          <w:tcPr>
            <w:tcW w:type="dxa" w:w="1949"/>
            <w:shd w:val="clear" w:color="auto" w:fill="FFEBEB"/>
            <w:vAlign w:val="top"/>
          </w:tcPr>
          <w:p>
            <w:pPr>
              <w:jc w:val="left"/>
            </w:pPr>
            <w:r>
              <w:rPr>
                <w:rFonts w:ascii="游ゴシック" w:hAnsi="游ゴシック"/>
                <w:b/>
                <w:sz w:val="18"/>
              </w:rPr>
              <w:t>財務諸表の正確性</w:t>
            </w:r>
          </w:p>
        </w:tc>
        <w:tc>
          <w:tcPr>
            <w:tcW w:type="dxa" w:w="1949"/>
            <w:shd w:val="clear" w:color="auto" w:fill="FFEBEB"/>
            <w:vAlign w:val="top"/>
          </w:tcPr>
          <w:p>
            <w:pPr>
              <w:jc w:val="left"/>
            </w:pPr>
            <w:r>
              <w:rPr>
                <w:rFonts w:ascii="游ゴシック" w:hAnsi="游ゴシック"/>
                <w:b w:val="0"/>
                <w:sz w:val="18"/>
              </w:rPr>
              <w:t>会計基準に従い作成されており、重大な誤りがないこと。簿外の資産・負債が存在しないこと。</w:t>
            </w:r>
          </w:p>
        </w:tc>
      </w:tr>
      <w:tr>
        <w:tc>
          <w:tcPr>
            <w:tcW w:type="dxa" w:w="1949"/>
            <w:shd w:val="clear" w:color="auto" w:fill="FFEBEB"/>
            <w:vAlign w:val="top"/>
          </w:tcPr>
          <w:p>
            <w:pPr>
              <w:jc w:val="center"/>
            </w:pPr>
            <w:r>
              <w:rPr>
                <w:rFonts w:ascii="游ゴシック" w:hAnsi="游ゴシック"/>
                <w:b w:val="0"/>
                <w:color w:val="969696"/>
                <w:sz w:val="22"/>
              </w:rPr>
              <w:t>□</w:t>
            </w:r>
          </w:p>
        </w:tc>
        <w:tc>
          <w:tcPr>
            <w:tcW w:type="dxa" w:w="1949"/>
            <w:shd w:val="clear" w:color="auto" w:fill="C0392B"/>
            <w:vAlign w:val="top"/>
          </w:tcPr>
          <w:p>
            <w:pPr>
              <w:jc w:val="center"/>
            </w:pPr>
            <w:r>
              <w:rPr>
                <w:rFonts w:ascii="游ゴシック" w:hAnsi="游ゴシック"/>
                <w:b/>
                <w:color w:val="FFFFFF"/>
                <w:sz w:val="18"/>
              </w:rPr>
              <w:t>高</w:t>
            </w:r>
          </w:p>
        </w:tc>
        <w:tc>
          <w:tcPr>
            <w:tcW w:type="dxa" w:w="1949"/>
            <w:shd w:val="clear" w:color="auto" w:fill="FFEBEB"/>
            <w:vAlign w:val="top"/>
          </w:tcPr>
          <w:p>
            <w:pPr>
              <w:jc w:val="center"/>
            </w:pPr>
            <w:r>
              <w:rPr>
                <w:rFonts w:ascii="游ゴシック" w:hAnsi="游ゴシック"/>
                <w:b w:val="0"/>
                <w:sz w:val="18"/>
              </w:rPr>
              <w:t>3</w:t>
            </w:r>
          </w:p>
        </w:tc>
        <w:tc>
          <w:tcPr>
            <w:tcW w:type="dxa" w:w="1949"/>
            <w:shd w:val="clear" w:color="auto" w:fill="FFEBEB"/>
            <w:vAlign w:val="top"/>
          </w:tcPr>
          <w:p>
            <w:pPr>
              <w:jc w:val="left"/>
            </w:pPr>
            <w:r>
              <w:rPr>
                <w:rFonts w:ascii="游ゴシック" w:hAnsi="游ゴシック"/>
                <w:b/>
                <w:sz w:val="18"/>
              </w:rPr>
              <w:t>簿外債務・偶発債務の不存在</w:t>
            </w:r>
          </w:p>
        </w:tc>
        <w:tc>
          <w:tcPr>
            <w:tcW w:type="dxa" w:w="1949"/>
            <w:shd w:val="clear" w:color="auto" w:fill="FFEBEB"/>
            <w:vAlign w:val="top"/>
          </w:tcPr>
          <w:p>
            <w:pPr>
              <w:jc w:val="left"/>
            </w:pPr>
            <w:r>
              <w:rPr>
                <w:rFonts w:ascii="游ゴシック" w:hAnsi="游ゴシック"/>
                <w:b w:val="0"/>
                <w:sz w:val="18"/>
              </w:rPr>
              <w:t>未開示の負債・保証債務・偶発債務が存在しないこと（連帯保証・物上保証を含む）。</w:t>
            </w:r>
          </w:p>
        </w:tc>
      </w:tr>
      <w:tr>
        <w:tc>
          <w:tcPr>
            <w:tcW w:type="dxa" w:w="1949"/>
            <w:shd w:val="clear" w:color="auto" w:fill="FFEBEB"/>
            <w:vAlign w:val="top"/>
          </w:tcPr>
          <w:p>
            <w:pPr>
              <w:jc w:val="center"/>
            </w:pPr>
            <w:r>
              <w:rPr>
                <w:rFonts w:ascii="游ゴシック" w:hAnsi="游ゴシック"/>
                <w:b w:val="0"/>
                <w:color w:val="969696"/>
                <w:sz w:val="22"/>
              </w:rPr>
              <w:t>□</w:t>
            </w:r>
          </w:p>
        </w:tc>
        <w:tc>
          <w:tcPr>
            <w:tcW w:type="dxa" w:w="1949"/>
            <w:shd w:val="clear" w:color="auto" w:fill="C0392B"/>
            <w:vAlign w:val="top"/>
          </w:tcPr>
          <w:p>
            <w:pPr>
              <w:jc w:val="center"/>
            </w:pPr>
            <w:r>
              <w:rPr>
                <w:rFonts w:ascii="游ゴシック" w:hAnsi="游ゴシック"/>
                <w:b/>
                <w:color w:val="FFFFFF"/>
                <w:sz w:val="18"/>
              </w:rPr>
              <w:t>高</w:t>
            </w:r>
          </w:p>
        </w:tc>
        <w:tc>
          <w:tcPr>
            <w:tcW w:type="dxa" w:w="1949"/>
            <w:shd w:val="clear" w:color="auto" w:fill="FFEBEB"/>
            <w:vAlign w:val="top"/>
          </w:tcPr>
          <w:p>
            <w:pPr>
              <w:jc w:val="center"/>
            </w:pPr>
            <w:r>
              <w:rPr>
                <w:rFonts w:ascii="游ゴシック" w:hAnsi="游ゴシック"/>
                <w:b w:val="0"/>
                <w:sz w:val="18"/>
              </w:rPr>
              <w:t>4</w:t>
            </w:r>
          </w:p>
        </w:tc>
        <w:tc>
          <w:tcPr>
            <w:tcW w:type="dxa" w:w="1949"/>
            <w:shd w:val="clear" w:color="auto" w:fill="FFEBEB"/>
            <w:vAlign w:val="top"/>
          </w:tcPr>
          <w:p>
            <w:pPr>
              <w:jc w:val="left"/>
            </w:pPr>
            <w:r>
              <w:rPr>
                <w:rFonts w:ascii="游ゴシック" w:hAnsi="游ゴシック"/>
                <w:b/>
                <w:sz w:val="18"/>
              </w:rPr>
              <w:t>訴訟・仲裁・行政処分の開示</w:t>
            </w:r>
          </w:p>
        </w:tc>
        <w:tc>
          <w:tcPr>
            <w:tcW w:type="dxa" w:w="1949"/>
            <w:shd w:val="clear" w:color="auto" w:fill="FFEBEB"/>
            <w:vAlign w:val="top"/>
          </w:tcPr>
          <w:p>
            <w:pPr>
              <w:jc w:val="left"/>
            </w:pPr>
            <w:r>
              <w:rPr>
                <w:rFonts w:ascii="游ゴシック" w:hAnsi="游ゴシック"/>
                <w:b w:val="0"/>
                <w:sz w:val="18"/>
              </w:rPr>
              <w:t>係争中の訴訟・仲裁・行政処分が開示事項以外に存在しないこと。潜在的なクレームがないこと。</w:t>
            </w:r>
          </w:p>
        </w:tc>
      </w:tr>
      <w:tr>
        <w:tc>
          <w:tcPr>
            <w:tcW w:type="dxa" w:w="1949"/>
            <w:shd w:val="clear" w:color="auto" w:fill="FFEBEB"/>
            <w:vAlign w:val="top"/>
          </w:tcPr>
          <w:p>
            <w:pPr>
              <w:jc w:val="center"/>
            </w:pPr>
            <w:r>
              <w:rPr>
                <w:rFonts w:ascii="游ゴシック" w:hAnsi="游ゴシック"/>
                <w:b w:val="0"/>
                <w:color w:val="969696"/>
                <w:sz w:val="22"/>
              </w:rPr>
              <w:t>□</w:t>
            </w:r>
          </w:p>
        </w:tc>
        <w:tc>
          <w:tcPr>
            <w:tcW w:type="dxa" w:w="1949"/>
            <w:shd w:val="clear" w:color="auto" w:fill="C0392B"/>
            <w:vAlign w:val="top"/>
          </w:tcPr>
          <w:p>
            <w:pPr>
              <w:jc w:val="center"/>
            </w:pPr>
            <w:r>
              <w:rPr>
                <w:rFonts w:ascii="游ゴシック" w:hAnsi="游ゴシック"/>
                <w:b/>
                <w:color w:val="FFFFFF"/>
                <w:sz w:val="18"/>
              </w:rPr>
              <w:t>高</w:t>
            </w:r>
          </w:p>
        </w:tc>
        <w:tc>
          <w:tcPr>
            <w:tcW w:type="dxa" w:w="1949"/>
            <w:shd w:val="clear" w:color="auto" w:fill="FFEBEB"/>
            <w:vAlign w:val="top"/>
          </w:tcPr>
          <w:p>
            <w:pPr>
              <w:jc w:val="center"/>
            </w:pPr>
            <w:r>
              <w:rPr>
                <w:rFonts w:ascii="游ゴシック" w:hAnsi="游ゴシック"/>
                <w:b w:val="0"/>
                <w:sz w:val="18"/>
              </w:rPr>
              <w:t>5</w:t>
            </w:r>
          </w:p>
        </w:tc>
        <w:tc>
          <w:tcPr>
            <w:tcW w:type="dxa" w:w="1949"/>
            <w:shd w:val="clear" w:color="auto" w:fill="FFEBEB"/>
            <w:vAlign w:val="top"/>
          </w:tcPr>
          <w:p>
            <w:pPr>
              <w:jc w:val="left"/>
            </w:pPr>
            <w:r>
              <w:rPr>
                <w:rFonts w:ascii="游ゴシック" w:hAnsi="游ゴシック"/>
                <w:b/>
                <w:sz w:val="18"/>
              </w:rPr>
              <w:t>Change of Control条項への対応</w:t>
            </w:r>
          </w:p>
        </w:tc>
        <w:tc>
          <w:tcPr>
            <w:tcW w:type="dxa" w:w="1949"/>
            <w:shd w:val="clear" w:color="auto" w:fill="FFEBEB"/>
            <w:vAlign w:val="top"/>
          </w:tcPr>
          <w:p>
            <w:pPr>
              <w:jc w:val="left"/>
            </w:pPr>
            <w:r>
              <w:rPr>
                <w:rFonts w:ascii="游ゴシック" w:hAnsi="游ゴシック"/>
                <w:b w:val="0"/>
                <w:sz w:val="18"/>
              </w:rPr>
              <w:t>重要契約が有効に存続し、M&amp;Aを理由とする解除事由が生じないこと（COC条項対応済み）。</w:t>
            </w:r>
          </w:p>
        </w:tc>
      </w:tr>
      <w:tr>
        <w:tc>
          <w:tcPr>
            <w:tcW w:type="dxa" w:w="1949"/>
            <w:shd w:val="clear" w:color="auto" w:fill="FFEBEB"/>
            <w:vAlign w:val="top"/>
          </w:tcPr>
          <w:p>
            <w:pPr>
              <w:jc w:val="center"/>
            </w:pPr>
            <w:r>
              <w:rPr>
                <w:rFonts w:ascii="游ゴシック" w:hAnsi="游ゴシック"/>
                <w:b w:val="0"/>
                <w:color w:val="969696"/>
                <w:sz w:val="22"/>
              </w:rPr>
              <w:t>□</w:t>
            </w:r>
          </w:p>
        </w:tc>
        <w:tc>
          <w:tcPr>
            <w:tcW w:type="dxa" w:w="1949"/>
            <w:shd w:val="clear" w:color="auto" w:fill="C0392B"/>
            <w:vAlign w:val="top"/>
          </w:tcPr>
          <w:p>
            <w:pPr>
              <w:jc w:val="center"/>
            </w:pPr>
            <w:r>
              <w:rPr>
                <w:rFonts w:ascii="游ゴシック" w:hAnsi="游ゴシック"/>
                <w:b/>
                <w:color w:val="FFFFFF"/>
                <w:sz w:val="18"/>
              </w:rPr>
              <w:t>高</w:t>
            </w:r>
          </w:p>
        </w:tc>
        <w:tc>
          <w:tcPr>
            <w:tcW w:type="dxa" w:w="1949"/>
            <w:shd w:val="clear" w:color="auto" w:fill="FFEBEB"/>
            <w:vAlign w:val="top"/>
          </w:tcPr>
          <w:p>
            <w:pPr>
              <w:jc w:val="center"/>
            </w:pPr>
            <w:r>
              <w:rPr>
                <w:rFonts w:ascii="游ゴシック" w:hAnsi="游ゴシック"/>
                <w:b w:val="0"/>
                <w:sz w:val="18"/>
              </w:rPr>
              <w:t>6</w:t>
            </w:r>
          </w:p>
        </w:tc>
        <w:tc>
          <w:tcPr>
            <w:tcW w:type="dxa" w:w="1949"/>
            <w:shd w:val="clear" w:color="auto" w:fill="FFEBEB"/>
            <w:vAlign w:val="top"/>
          </w:tcPr>
          <w:p>
            <w:pPr>
              <w:jc w:val="left"/>
            </w:pPr>
            <w:r>
              <w:rPr>
                <w:rFonts w:ascii="游ゴシック" w:hAnsi="游ゴシック"/>
                <w:b/>
                <w:sz w:val="18"/>
              </w:rPr>
              <w:t>許認可・免許・登録の有効性</w:t>
            </w:r>
          </w:p>
        </w:tc>
        <w:tc>
          <w:tcPr>
            <w:tcW w:type="dxa" w:w="1949"/>
            <w:shd w:val="clear" w:color="auto" w:fill="FFEBEB"/>
            <w:vAlign w:val="top"/>
          </w:tcPr>
          <w:p>
            <w:pPr>
              <w:jc w:val="left"/>
            </w:pPr>
            <w:r>
              <w:rPr>
                <w:rFonts w:ascii="游ゴシック" w:hAnsi="游ゴシック"/>
                <w:b w:val="0"/>
                <w:sz w:val="18"/>
              </w:rPr>
              <w:t>事業に必要な許認可・免許・登録が有効に維持されており、失効・取消しリスクがないこと。</w:t>
            </w:r>
          </w:p>
        </w:tc>
      </w:tr>
      <w:tr>
        <w:tc>
          <w:tcPr>
            <w:tcW w:type="dxa" w:w="1949"/>
            <w:shd w:val="clear" w:color="auto" w:fill="FFEBEB"/>
            <w:vAlign w:val="top"/>
          </w:tcPr>
          <w:p>
            <w:pPr>
              <w:jc w:val="center"/>
            </w:pPr>
            <w:r>
              <w:rPr>
                <w:rFonts w:ascii="游ゴシック" w:hAnsi="游ゴシック"/>
                <w:b w:val="0"/>
                <w:color w:val="969696"/>
                <w:sz w:val="22"/>
              </w:rPr>
              <w:t>□</w:t>
            </w:r>
          </w:p>
        </w:tc>
        <w:tc>
          <w:tcPr>
            <w:tcW w:type="dxa" w:w="1949"/>
            <w:shd w:val="clear" w:color="auto" w:fill="C0392B"/>
            <w:vAlign w:val="top"/>
          </w:tcPr>
          <w:p>
            <w:pPr>
              <w:jc w:val="center"/>
            </w:pPr>
            <w:r>
              <w:rPr>
                <w:rFonts w:ascii="游ゴシック" w:hAnsi="游ゴシック"/>
                <w:b/>
                <w:color w:val="FFFFFF"/>
                <w:sz w:val="18"/>
              </w:rPr>
              <w:t>高</w:t>
            </w:r>
          </w:p>
        </w:tc>
        <w:tc>
          <w:tcPr>
            <w:tcW w:type="dxa" w:w="1949"/>
            <w:shd w:val="clear" w:color="auto" w:fill="FFEBEB"/>
            <w:vAlign w:val="top"/>
          </w:tcPr>
          <w:p>
            <w:pPr>
              <w:jc w:val="center"/>
            </w:pPr>
            <w:r>
              <w:rPr>
                <w:rFonts w:ascii="游ゴシック" w:hAnsi="游ゴシック"/>
                <w:b w:val="0"/>
                <w:sz w:val="18"/>
              </w:rPr>
              <w:t>7</w:t>
            </w:r>
          </w:p>
        </w:tc>
        <w:tc>
          <w:tcPr>
            <w:tcW w:type="dxa" w:w="1949"/>
            <w:shd w:val="clear" w:color="auto" w:fill="FFEBEB"/>
            <w:vAlign w:val="top"/>
          </w:tcPr>
          <w:p>
            <w:pPr>
              <w:jc w:val="left"/>
            </w:pPr>
            <w:r>
              <w:rPr>
                <w:rFonts w:ascii="游ゴシック" w:hAnsi="游ゴシック"/>
                <w:b/>
                <w:sz w:val="18"/>
              </w:rPr>
              <w:t>知的財産権の帰属</w:t>
            </w:r>
          </w:p>
        </w:tc>
        <w:tc>
          <w:tcPr>
            <w:tcW w:type="dxa" w:w="1949"/>
            <w:shd w:val="clear" w:color="auto" w:fill="FFEBEB"/>
            <w:vAlign w:val="top"/>
          </w:tcPr>
          <w:p>
            <w:pPr>
              <w:jc w:val="left"/>
            </w:pPr>
            <w:r>
              <w:rPr>
                <w:rFonts w:ascii="游ゴシック" w:hAnsi="游ゴシック"/>
                <w:b w:val="0"/>
                <w:sz w:val="18"/>
              </w:rPr>
              <w:t>知的財産権（特許・商標・著作権・営業秘密等）が対象会社に帰属し、第三者の権利侵害・係争がないこと。</w:t>
            </w:r>
          </w:p>
        </w:tc>
      </w:tr>
      <w:tr>
        <w:tc>
          <w:tcPr>
            <w:tcW w:type="dxa" w:w="1949"/>
            <w:shd w:val="clear" w:color="auto" w:fill="FFEBEB"/>
            <w:vAlign w:val="top"/>
          </w:tcPr>
          <w:p>
            <w:pPr>
              <w:jc w:val="center"/>
            </w:pPr>
            <w:r>
              <w:rPr>
                <w:rFonts w:ascii="游ゴシック" w:hAnsi="游ゴシック"/>
                <w:b w:val="0"/>
                <w:color w:val="969696"/>
                <w:sz w:val="22"/>
              </w:rPr>
              <w:t>□</w:t>
            </w:r>
          </w:p>
        </w:tc>
        <w:tc>
          <w:tcPr>
            <w:tcW w:type="dxa" w:w="1949"/>
            <w:shd w:val="clear" w:color="auto" w:fill="C0392B"/>
            <w:vAlign w:val="top"/>
          </w:tcPr>
          <w:p>
            <w:pPr>
              <w:jc w:val="center"/>
            </w:pPr>
            <w:r>
              <w:rPr>
                <w:rFonts w:ascii="游ゴシック" w:hAnsi="游ゴシック"/>
                <w:b/>
                <w:color w:val="FFFFFF"/>
                <w:sz w:val="18"/>
              </w:rPr>
              <w:t>高</w:t>
            </w:r>
          </w:p>
        </w:tc>
        <w:tc>
          <w:tcPr>
            <w:tcW w:type="dxa" w:w="1949"/>
            <w:shd w:val="clear" w:color="auto" w:fill="FFEBEB"/>
            <w:vAlign w:val="top"/>
          </w:tcPr>
          <w:p>
            <w:pPr>
              <w:jc w:val="center"/>
            </w:pPr>
            <w:r>
              <w:rPr>
                <w:rFonts w:ascii="游ゴシック" w:hAnsi="游ゴシック"/>
                <w:b w:val="0"/>
                <w:sz w:val="18"/>
              </w:rPr>
              <w:t>8</w:t>
            </w:r>
          </w:p>
        </w:tc>
        <w:tc>
          <w:tcPr>
            <w:tcW w:type="dxa" w:w="1949"/>
            <w:shd w:val="clear" w:color="auto" w:fill="FFEBEB"/>
            <w:vAlign w:val="top"/>
          </w:tcPr>
          <w:p>
            <w:pPr>
              <w:jc w:val="left"/>
            </w:pPr>
            <w:r>
              <w:rPr>
                <w:rFonts w:ascii="游ゴシック" w:hAnsi="游ゴシック"/>
                <w:b/>
                <w:sz w:val="18"/>
              </w:rPr>
              <w:t>労務・雇用関係の適法性</w:t>
            </w:r>
          </w:p>
        </w:tc>
        <w:tc>
          <w:tcPr>
            <w:tcW w:type="dxa" w:w="1949"/>
            <w:shd w:val="clear" w:color="auto" w:fill="FFEBEB"/>
            <w:vAlign w:val="top"/>
          </w:tcPr>
          <w:p>
            <w:pPr>
              <w:jc w:val="left"/>
            </w:pPr>
            <w:r>
              <w:rPr>
                <w:rFonts w:ascii="游ゴシック" w:hAnsi="游ゴシック"/>
                <w:b w:val="0"/>
                <w:sz w:val="18"/>
              </w:rPr>
              <w:t>従業員の雇用関係が適法であり、未払賃金・未払残業代・未払退職金が存在しないこと。</w:t>
            </w:r>
          </w:p>
        </w:tc>
      </w:tr>
      <w:tr>
        <w:tc>
          <w:tcPr>
            <w:tcW w:type="dxa" w:w="1949"/>
            <w:shd w:val="clear" w:color="auto" w:fill="FFF3EB"/>
            <w:vAlign w:val="top"/>
          </w:tcPr>
          <w:p>
            <w:pPr>
              <w:jc w:val="center"/>
            </w:pPr>
            <w:r>
              <w:rPr>
                <w:rFonts w:ascii="游ゴシック" w:hAnsi="游ゴシック"/>
                <w:b w:val="0"/>
                <w:color w:val="969696"/>
                <w:sz w:val="22"/>
              </w:rPr>
              <w:t>□</w:t>
            </w:r>
          </w:p>
        </w:tc>
        <w:tc>
          <w:tcPr>
            <w:tcW w:type="dxa" w:w="1949"/>
            <w:shd w:val="clear" w:color="auto" w:fill="D35400"/>
            <w:vAlign w:val="top"/>
          </w:tcPr>
          <w:p>
            <w:pPr>
              <w:jc w:val="center"/>
            </w:pPr>
            <w:r>
              <w:rPr>
                <w:rFonts w:ascii="游ゴシック" w:hAnsi="游ゴシック"/>
                <w:b/>
                <w:color w:val="FFFFFF"/>
                <w:sz w:val="18"/>
              </w:rPr>
              <w:t>中</w:t>
            </w:r>
          </w:p>
        </w:tc>
        <w:tc>
          <w:tcPr>
            <w:tcW w:type="dxa" w:w="1949"/>
            <w:shd w:val="clear" w:color="auto" w:fill="FFF3EB"/>
            <w:vAlign w:val="top"/>
          </w:tcPr>
          <w:p>
            <w:pPr>
              <w:jc w:val="center"/>
            </w:pPr>
            <w:r>
              <w:rPr>
                <w:rFonts w:ascii="游ゴシック" w:hAnsi="游ゴシック"/>
                <w:b w:val="0"/>
                <w:sz w:val="18"/>
              </w:rPr>
              <w:t>9</w:t>
            </w:r>
          </w:p>
        </w:tc>
        <w:tc>
          <w:tcPr>
            <w:tcW w:type="dxa" w:w="1949"/>
            <w:shd w:val="clear" w:color="auto" w:fill="FFF3EB"/>
            <w:vAlign w:val="top"/>
          </w:tcPr>
          <w:p>
            <w:pPr>
              <w:jc w:val="left"/>
            </w:pPr>
            <w:r>
              <w:rPr>
                <w:rFonts w:ascii="游ゴシック" w:hAnsi="游ゴシック"/>
                <w:b/>
                <w:sz w:val="18"/>
              </w:rPr>
              <w:t>税務申告の適法性</w:t>
            </w:r>
          </w:p>
        </w:tc>
        <w:tc>
          <w:tcPr>
            <w:tcW w:type="dxa" w:w="1949"/>
            <w:shd w:val="clear" w:color="auto" w:fill="FFF3EB"/>
            <w:vAlign w:val="top"/>
          </w:tcPr>
          <w:p>
            <w:pPr>
              <w:jc w:val="left"/>
            </w:pPr>
            <w:r>
              <w:rPr>
                <w:rFonts w:ascii="游ゴシック" w:hAnsi="游ゴシック"/>
                <w:b w:val="0"/>
                <w:sz w:val="18"/>
              </w:rPr>
              <w:t>過去の税務申告が適法に行われており、重大な追徴課税リスクがないこと。税務調査対応が完了していること。</w:t>
            </w:r>
          </w:p>
        </w:tc>
      </w:tr>
      <w:tr>
        <w:tc>
          <w:tcPr>
            <w:tcW w:type="dxa" w:w="1949"/>
            <w:shd w:val="clear" w:color="auto" w:fill="FFF3EB"/>
            <w:vAlign w:val="top"/>
          </w:tcPr>
          <w:p>
            <w:pPr>
              <w:jc w:val="center"/>
            </w:pPr>
            <w:r>
              <w:rPr>
                <w:rFonts w:ascii="游ゴシック" w:hAnsi="游ゴシック"/>
                <w:b w:val="0"/>
                <w:color w:val="969696"/>
                <w:sz w:val="22"/>
              </w:rPr>
              <w:t>□</w:t>
            </w:r>
          </w:p>
        </w:tc>
        <w:tc>
          <w:tcPr>
            <w:tcW w:type="dxa" w:w="1949"/>
            <w:shd w:val="clear" w:color="auto" w:fill="D35400"/>
            <w:vAlign w:val="top"/>
          </w:tcPr>
          <w:p>
            <w:pPr>
              <w:jc w:val="center"/>
            </w:pPr>
            <w:r>
              <w:rPr>
                <w:rFonts w:ascii="游ゴシック" w:hAnsi="游ゴシック"/>
                <w:b/>
                <w:color w:val="FFFFFF"/>
                <w:sz w:val="18"/>
              </w:rPr>
              <w:t>中</w:t>
            </w:r>
          </w:p>
        </w:tc>
        <w:tc>
          <w:tcPr>
            <w:tcW w:type="dxa" w:w="1949"/>
            <w:shd w:val="clear" w:color="auto" w:fill="FFF3EB"/>
            <w:vAlign w:val="top"/>
          </w:tcPr>
          <w:p>
            <w:pPr>
              <w:jc w:val="center"/>
            </w:pPr>
            <w:r>
              <w:rPr>
                <w:rFonts w:ascii="游ゴシック" w:hAnsi="游ゴシック"/>
                <w:b w:val="0"/>
                <w:sz w:val="18"/>
              </w:rPr>
              <w:t>10</w:t>
            </w:r>
          </w:p>
        </w:tc>
        <w:tc>
          <w:tcPr>
            <w:tcW w:type="dxa" w:w="1949"/>
            <w:shd w:val="clear" w:color="auto" w:fill="FFF3EB"/>
            <w:vAlign w:val="top"/>
          </w:tcPr>
          <w:p>
            <w:pPr>
              <w:jc w:val="left"/>
            </w:pPr>
            <w:r>
              <w:rPr>
                <w:rFonts w:ascii="游ゴシック" w:hAnsi="游ゴシック"/>
                <w:b/>
                <w:sz w:val="18"/>
              </w:rPr>
              <w:t>環境法令遵守</w:t>
            </w:r>
          </w:p>
        </w:tc>
        <w:tc>
          <w:tcPr>
            <w:tcW w:type="dxa" w:w="1949"/>
            <w:shd w:val="clear" w:color="auto" w:fill="FFF3EB"/>
            <w:vAlign w:val="top"/>
          </w:tcPr>
          <w:p>
            <w:pPr>
              <w:jc w:val="left"/>
            </w:pPr>
            <w:r>
              <w:rPr>
                <w:rFonts w:ascii="游ゴシック" w:hAnsi="游ゴシック"/>
                <w:b w:val="0"/>
                <w:sz w:val="18"/>
              </w:rPr>
              <w:t>環境法令を遵守しており、土壌汚染・産廃の不法処理・廃棄物問題がないこと（偶発債務リスクなし）。</w:t>
            </w:r>
          </w:p>
        </w:tc>
      </w:tr>
      <w:tr>
        <w:tc>
          <w:tcPr>
            <w:tcW w:type="dxa" w:w="1949"/>
            <w:shd w:val="clear" w:color="auto" w:fill="FFF3EB"/>
            <w:vAlign w:val="top"/>
          </w:tcPr>
          <w:p>
            <w:pPr>
              <w:jc w:val="center"/>
            </w:pPr>
            <w:r>
              <w:rPr>
                <w:rFonts w:ascii="游ゴシック" w:hAnsi="游ゴシック"/>
                <w:b w:val="0"/>
                <w:color w:val="969696"/>
                <w:sz w:val="22"/>
              </w:rPr>
              <w:t>□</w:t>
            </w:r>
          </w:p>
        </w:tc>
        <w:tc>
          <w:tcPr>
            <w:tcW w:type="dxa" w:w="1949"/>
            <w:shd w:val="clear" w:color="auto" w:fill="D35400"/>
            <w:vAlign w:val="top"/>
          </w:tcPr>
          <w:p>
            <w:pPr>
              <w:jc w:val="center"/>
            </w:pPr>
            <w:r>
              <w:rPr>
                <w:rFonts w:ascii="游ゴシック" w:hAnsi="游ゴシック"/>
                <w:b/>
                <w:color w:val="FFFFFF"/>
                <w:sz w:val="18"/>
              </w:rPr>
              <w:t>中</w:t>
            </w:r>
          </w:p>
        </w:tc>
        <w:tc>
          <w:tcPr>
            <w:tcW w:type="dxa" w:w="1949"/>
            <w:shd w:val="clear" w:color="auto" w:fill="FFF3EB"/>
            <w:vAlign w:val="top"/>
          </w:tcPr>
          <w:p>
            <w:pPr>
              <w:jc w:val="center"/>
            </w:pPr>
            <w:r>
              <w:rPr>
                <w:rFonts w:ascii="游ゴシック" w:hAnsi="游ゴシック"/>
                <w:b w:val="0"/>
                <w:sz w:val="18"/>
              </w:rPr>
              <w:t>11</w:t>
            </w:r>
          </w:p>
        </w:tc>
        <w:tc>
          <w:tcPr>
            <w:tcW w:type="dxa" w:w="1949"/>
            <w:shd w:val="clear" w:color="auto" w:fill="FFF3EB"/>
            <w:vAlign w:val="top"/>
          </w:tcPr>
          <w:p>
            <w:pPr>
              <w:jc w:val="left"/>
            </w:pPr>
            <w:r>
              <w:rPr>
                <w:rFonts w:ascii="游ゴシック" w:hAnsi="游ゴシック"/>
                <w:b/>
                <w:sz w:val="18"/>
              </w:rPr>
              <w:t>反社会的勢力との関係不存在</w:t>
            </w:r>
          </w:p>
        </w:tc>
        <w:tc>
          <w:tcPr>
            <w:tcW w:type="dxa" w:w="1949"/>
            <w:shd w:val="clear" w:color="auto" w:fill="FFF3EB"/>
            <w:vAlign w:val="top"/>
          </w:tcPr>
          <w:p>
            <w:pPr>
              <w:jc w:val="left"/>
            </w:pPr>
            <w:r>
              <w:rPr>
                <w:rFonts w:ascii="游ゴシック" w:hAnsi="游ゴシック"/>
                <w:b w:val="0"/>
                <w:sz w:val="18"/>
              </w:rPr>
              <w:t>反社会的勢力との直接・間接の関係が一切ないこと。暴力団排除条例に抵触する取引がないこと。</w:t>
            </w:r>
          </w:p>
        </w:tc>
      </w:tr>
      <w:tr>
        <w:tc>
          <w:tcPr>
            <w:tcW w:type="dxa" w:w="1949"/>
            <w:shd w:val="clear" w:color="auto" w:fill="FFF3EB"/>
            <w:vAlign w:val="top"/>
          </w:tcPr>
          <w:p>
            <w:pPr>
              <w:jc w:val="center"/>
            </w:pPr>
            <w:r>
              <w:rPr>
                <w:rFonts w:ascii="游ゴシック" w:hAnsi="游ゴシック"/>
                <w:b w:val="0"/>
                <w:color w:val="969696"/>
                <w:sz w:val="22"/>
              </w:rPr>
              <w:t>□</w:t>
            </w:r>
          </w:p>
        </w:tc>
        <w:tc>
          <w:tcPr>
            <w:tcW w:type="dxa" w:w="1949"/>
            <w:shd w:val="clear" w:color="auto" w:fill="D35400"/>
            <w:vAlign w:val="top"/>
          </w:tcPr>
          <w:p>
            <w:pPr>
              <w:jc w:val="center"/>
            </w:pPr>
            <w:r>
              <w:rPr>
                <w:rFonts w:ascii="游ゴシック" w:hAnsi="游ゴシック"/>
                <w:b/>
                <w:color w:val="FFFFFF"/>
                <w:sz w:val="18"/>
              </w:rPr>
              <w:t>中</w:t>
            </w:r>
          </w:p>
        </w:tc>
        <w:tc>
          <w:tcPr>
            <w:tcW w:type="dxa" w:w="1949"/>
            <w:shd w:val="clear" w:color="auto" w:fill="FFF3EB"/>
            <w:vAlign w:val="top"/>
          </w:tcPr>
          <w:p>
            <w:pPr>
              <w:jc w:val="center"/>
            </w:pPr>
            <w:r>
              <w:rPr>
                <w:rFonts w:ascii="游ゴシック" w:hAnsi="游ゴシック"/>
                <w:b w:val="0"/>
                <w:sz w:val="18"/>
              </w:rPr>
              <w:t>12</w:t>
            </w:r>
          </w:p>
        </w:tc>
        <w:tc>
          <w:tcPr>
            <w:tcW w:type="dxa" w:w="1949"/>
            <w:shd w:val="clear" w:color="auto" w:fill="FFF3EB"/>
            <w:vAlign w:val="top"/>
          </w:tcPr>
          <w:p>
            <w:pPr>
              <w:jc w:val="left"/>
            </w:pPr>
            <w:r>
              <w:rPr>
                <w:rFonts w:ascii="游ゴシック" w:hAnsi="游ゴシック"/>
                <w:b/>
                <w:sz w:val="18"/>
              </w:rPr>
              <w:t>個人情報保護法の遵守</w:t>
            </w:r>
          </w:p>
        </w:tc>
        <w:tc>
          <w:tcPr>
            <w:tcW w:type="dxa" w:w="1949"/>
            <w:shd w:val="clear" w:color="auto" w:fill="FFF3EB"/>
            <w:vAlign w:val="top"/>
          </w:tcPr>
          <w:p>
            <w:pPr>
              <w:jc w:val="left"/>
            </w:pPr>
            <w:r>
              <w:rPr>
                <w:rFonts w:ascii="游ゴシック" w:hAnsi="游ゴシック"/>
                <w:b w:val="0"/>
                <w:sz w:val="18"/>
              </w:rPr>
              <w:t>個人情報の取り扱いが個人情報保護法（改正法含む）に準拠しており、重大な違反・漏洩がないこと。</w:t>
            </w:r>
          </w:p>
        </w:tc>
      </w:tr>
      <w:tr>
        <w:tc>
          <w:tcPr>
            <w:tcW w:type="dxa" w:w="1949"/>
            <w:shd w:val="clear" w:color="auto" w:fill="FFF3EB"/>
            <w:vAlign w:val="top"/>
          </w:tcPr>
          <w:p>
            <w:pPr>
              <w:jc w:val="center"/>
            </w:pPr>
            <w:r>
              <w:rPr>
                <w:rFonts w:ascii="游ゴシック" w:hAnsi="游ゴシック"/>
                <w:b w:val="0"/>
                <w:color w:val="969696"/>
                <w:sz w:val="22"/>
              </w:rPr>
              <w:t>□</w:t>
            </w:r>
          </w:p>
        </w:tc>
        <w:tc>
          <w:tcPr>
            <w:tcW w:type="dxa" w:w="1949"/>
            <w:shd w:val="clear" w:color="auto" w:fill="D35400"/>
            <w:vAlign w:val="top"/>
          </w:tcPr>
          <w:p>
            <w:pPr>
              <w:jc w:val="center"/>
            </w:pPr>
            <w:r>
              <w:rPr>
                <w:rFonts w:ascii="游ゴシック" w:hAnsi="游ゴシック"/>
                <w:b/>
                <w:color w:val="FFFFFF"/>
                <w:sz w:val="18"/>
              </w:rPr>
              <w:t>中</w:t>
            </w:r>
          </w:p>
        </w:tc>
        <w:tc>
          <w:tcPr>
            <w:tcW w:type="dxa" w:w="1949"/>
            <w:shd w:val="clear" w:color="auto" w:fill="FFF3EB"/>
            <w:vAlign w:val="top"/>
          </w:tcPr>
          <w:p>
            <w:pPr>
              <w:jc w:val="center"/>
            </w:pPr>
            <w:r>
              <w:rPr>
                <w:rFonts w:ascii="游ゴシック" w:hAnsi="游ゴシック"/>
                <w:b w:val="0"/>
                <w:sz w:val="18"/>
              </w:rPr>
              <w:t>13</w:t>
            </w:r>
          </w:p>
        </w:tc>
        <w:tc>
          <w:tcPr>
            <w:tcW w:type="dxa" w:w="1949"/>
            <w:shd w:val="clear" w:color="auto" w:fill="FFF3EB"/>
            <w:vAlign w:val="top"/>
          </w:tcPr>
          <w:p>
            <w:pPr>
              <w:jc w:val="left"/>
            </w:pPr>
            <w:r>
              <w:rPr>
                <w:rFonts w:ascii="游ゴシック" w:hAnsi="游ゴシック"/>
                <w:b/>
                <w:sz w:val="18"/>
              </w:rPr>
              <w:t>関連当事者取引の適正性</w:t>
            </w:r>
          </w:p>
        </w:tc>
        <w:tc>
          <w:tcPr>
            <w:tcW w:type="dxa" w:w="1949"/>
            <w:shd w:val="clear" w:color="auto" w:fill="FFF3EB"/>
            <w:vAlign w:val="top"/>
          </w:tcPr>
          <w:p>
            <w:pPr>
              <w:jc w:val="left"/>
            </w:pPr>
            <w:r>
              <w:rPr>
                <w:rFonts w:ascii="游ゴシック" w:hAnsi="游ゴシック"/>
                <w:b w:val="0"/>
                <w:sz w:val="18"/>
              </w:rPr>
              <w:t>関連当事者取引（役員・関連会社との取引）が適正な条件で行われており、隠れた利益移転がないこと。</w:t>
            </w:r>
          </w:p>
        </w:tc>
      </w:tr>
      <w:tr>
        <w:tc>
          <w:tcPr>
            <w:tcW w:type="dxa" w:w="1949"/>
            <w:shd w:val="clear" w:color="auto" w:fill="EBFAF0"/>
            <w:vAlign w:val="top"/>
          </w:tcPr>
          <w:p>
            <w:pPr>
              <w:jc w:val="center"/>
            </w:pPr>
            <w:r>
              <w:rPr>
                <w:rFonts w:ascii="游ゴシック" w:hAnsi="游ゴシック"/>
                <w:b w:val="0"/>
                <w:color w:val="969696"/>
                <w:sz w:val="22"/>
              </w:rPr>
              <w:t>□</w:t>
            </w:r>
          </w:p>
        </w:tc>
        <w:tc>
          <w:tcPr>
            <w:tcW w:type="dxa" w:w="1949"/>
            <w:shd w:val="clear" w:color="auto" w:fill="27AE60"/>
            <w:vAlign w:val="top"/>
          </w:tcPr>
          <w:p>
            <w:pPr>
              <w:jc w:val="center"/>
            </w:pPr>
            <w:r>
              <w:rPr>
                <w:rFonts w:ascii="游ゴシック" w:hAnsi="游ゴシック"/>
                <w:b/>
                <w:color w:val="FFFFFF"/>
                <w:sz w:val="18"/>
              </w:rPr>
              <w:t>低</w:t>
            </w:r>
          </w:p>
        </w:tc>
        <w:tc>
          <w:tcPr>
            <w:tcW w:type="dxa" w:w="1949"/>
            <w:shd w:val="clear" w:color="auto" w:fill="EBFAF0"/>
            <w:vAlign w:val="top"/>
          </w:tcPr>
          <w:p>
            <w:pPr>
              <w:jc w:val="center"/>
            </w:pPr>
            <w:r>
              <w:rPr>
                <w:rFonts w:ascii="游ゴシック" w:hAnsi="游ゴシック"/>
                <w:b w:val="0"/>
                <w:sz w:val="18"/>
              </w:rPr>
              <w:t>14</w:t>
            </w:r>
          </w:p>
        </w:tc>
        <w:tc>
          <w:tcPr>
            <w:tcW w:type="dxa" w:w="1949"/>
            <w:shd w:val="clear" w:color="auto" w:fill="EBFAF0"/>
            <w:vAlign w:val="top"/>
          </w:tcPr>
          <w:p>
            <w:pPr>
              <w:jc w:val="left"/>
            </w:pPr>
            <w:r>
              <w:rPr>
                <w:rFonts w:ascii="游ゴシック" w:hAnsi="游ゴシック"/>
                <w:b/>
                <w:sz w:val="18"/>
              </w:rPr>
              <w:t>資産の所有権と担保状況</w:t>
            </w:r>
          </w:p>
        </w:tc>
        <w:tc>
          <w:tcPr>
            <w:tcW w:type="dxa" w:w="1949"/>
            <w:shd w:val="clear" w:color="auto" w:fill="EBFAF0"/>
            <w:vAlign w:val="top"/>
          </w:tcPr>
          <w:p>
            <w:pPr>
              <w:jc w:val="left"/>
            </w:pPr>
            <w:r>
              <w:rPr>
                <w:rFonts w:ascii="游ゴシック" w:hAnsi="游ゴシック"/>
                <w:b w:val="0"/>
                <w:sz w:val="18"/>
              </w:rPr>
              <w:t>動産・不動産の所有権が対象会社に帰属し、担保権・差押え・抵当権等が開示事項以外に存在しないこと。</w:t>
            </w:r>
          </w:p>
        </w:tc>
      </w:tr>
      <w:tr>
        <w:tc>
          <w:tcPr>
            <w:tcW w:type="dxa" w:w="1949"/>
            <w:shd w:val="clear" w:color="auto" w:fill="EBFAF0"/>
            <w:vAlign w:val="top"/>
          </w:tcPr>
          <w:p>
            <w:pPr>
              <w:jc w:val="center"/>
            </w:pPr>
            <w:r>
              <w:rPr>
                <w:rFonts w:ascii="游ゴシック" w:hAnsi="游ゴシック"/>
                <w:b w:val="0"/>
                <w:color w:val="969696"/>
                <w:sz w:val="22"/>
              </w:rPr>
              <w:t>□</w:t>
            </w:r>
          </w:p>
        </w:tc>
        <w:tc>
          <w:tcPr>
            <w:tcW w:type="dxa" w:w="1949"/>
            <w:shd w:val="clear" w:color="auto" w:fill="27AE60"/>
            <w:vAlign w:val="top"/>
          </w:tcPr>
          <w:p>
            <w:pPr>
              <w:jc w:val="center"/>
            </w:pPr>
            <w:r>
              <w:rPr>
                <w:rFonts w:ascii="游ゴシック" w:hAnsi="游ゴシック"/>
                <w:b/>
                <w:color w:val="FFFFFF"/>
                <w:sz w:val="18"/>
              </w:rPr>
              <w:t>低</w:t>
            </w:r>
          </w:p>
        </w:tc>
        <w:tc>
          <w:tcPr>
            <w:tcW w:type="dxa" w:w="1949"/>
            <w:shd w:val="clear" w:color="auto" w:fill="EBFAF0"/>
            <w:vAlign w:val="top"/>
          </w:tcPr>
          <w:p>
            <w:pPr>
              <w:jc w:val="center"/>
            </w:pPr>
            <w:r>
              <w:rPr>
                <w:rFonts w:ascii="游ゴシック" w:hAnsi="游ゴシック"/>
                <w:b w:val="0"/>
                <w:sz w:val="18"/>
              </w:rPr>
              <w:t>15</w:t>
            </w:r>
          </w:p>
        </w:tc>
        <w:tc>
          <w:tcPr>
            <w:tcW w:type="dxa" w:w="1949"/>
            <w:shd w:val="clear" w:color="auto" w:fill="EBFAF0"/>
            <w:vAlign w:val="top"/>
          </w:tcPr>
          <w:p>
            <w:pPr>
              <w:jc w:val="left"/>
            </w:pPr>
            <w:r>
              <w:rPr>
                <w:rFonts w:ascii="游ゴシック" w:hAnsi="游ゴシック"/>
                <w:b/>
                <w:sz w:val="18"/>
              </w:rPr>
              <w:t>保険契約の有効性</w:t>
            </w:r>
          </w:p>
        </w:tc>
        <w:tc>
          <w:tcPr>
            <w:tcW w:type="dxa" w:w="1949"/>
            <w:shd w:val="clear" w:color="auto" w:fill="EBFAF0"/>
            <w:vAlign w:val="top"/>
          </w:tcPr>
          <w:p>
            <w:pPr>
              <w:jc w:val="left"/>
            </w:pPr>
            <w:r>
              <w:rPr>
                <w:rFonts w:ascii="游ゴシック" w:hAnsi="游ゴシック"/>
                <w:b w:val="0"/>
                <w:sz w:val="18"/>
              </w:rPr>
              <w:t>事業継続に必要な保険契約が有効に維持されており、重大な保険事故・未申告クレームがないこと。</w:t>
            </w:r>
          </w:p>
        </w:tc>
      </w:tr>
    </w:tbl>
    <w:p>
      <w:pPr>
        <w:spacing w:after="200"/>
      </w:pPr>
    </w:p>
    <w:p>
      <w:pPr>
        <w:spacing w:before="40" w:after="40"/>
      </w:pPr>
      <w:r>
        <w:rPr>
          <w:rFonts w:ascii="游ゴシック" w:hAnsi="游ゴシック"/>
          <w:b w:val="0"/>
          <w:sz w:val="16"/>
        </w:rPr>
        <w:t>※ 本チェックリストは一般的な確認事項を示したものです。個別の取引に応じて追加・削除・修正が必要です。SPA条項の設計・交渉については弁護士法人ブライトにご相談ください。</w:t>
      </w:r>
    </w:p>
    <w:p>
      <w:pPr>
        <w:spacing w:before="80"/>
      </w:pPr>
      <w:r>
        <w:rPr>
          <w:rFonts w:ascii="游ゴシック" w:hAnsi="游ゴシック"/>
          <w:b w:val="0"/>
          <w:color w:val="1A2B4A"/>
          <w:sz w:val="16"/>
        </w:rPr>
        <w:t>弁護士法人ブライト「みんなの法務部」｜ TEL: 06-4965-9590（平日9:00-18:00）｜ https://law-bright.com/</w:t>
      </w:r>
    </w:p>
    <w:sectPr w:rsidR="00FC693F" w:rsidRPr="0006063C" w:rsidSect="00034616">
      <w:pgSz w:w="12240" w:h="15840"/>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